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WILDER C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616"/>
        <w:gridCol w:w="1279"/>
        <w:gridCol w:w="997"/>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2,657,473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Refer to Footnote</w:t>
            </w:r>
            <w:r>
              <w:rPr>
                <w:rFonts w:ascii="Times;serif" w:hAnsi="Times;serif"/>
                <w:color w:val="008000"/>
                <w:position w:val="7"/>
                <w:sz w:val="16"/>
                <w:sz w:val="20"/>
                <w:shd w:fill="FFFFFF" w:val="clear"/>
              </w:rPr>
              <w:t>(1)</w:t>
            </w:r>
            <w:r>
              <w:rPr/>
              <w:t xml:space="preserve"> </w:t>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29,466</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directly beneficially owned by BEP Special Situations V LLC. The reporting person may be deemed to beneficially own such shares as he is the manager of Bluescape Resources GP Holdings LLC, which is the managing member of Bluescape Energy Partners IV GP LLC ("Main Fund") and Main Fund is acting as the Manager of BEP Special Situations V LLC.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Director deferred share units received as partial payment of retainer fees that have been deferred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243 shares that were inadvertently omitted in a prior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C. John Wilder by Christie Dasek-Kaine,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7495"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4000</Characters>
  <CharactersWithSpaces>4675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