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0" w:after="0"/>
        <w:jc w:val="center"/>
      </w:pPr>
      <w:r>
        <w:rPr>
          <w:color w:val="000000"/>
        </w:rPr>
        <w:t xml:space="preserve">☒ </w:t>
      </w:r>
      <w:r>
        <w:rPr>
          <w:rFonts w:ascii="Times New Roman;serif" w:hAnsi="Times New Roman;serif"/>
          <w:b w:val="false"/>
          <w:color w:val="000000"/>
          <w:sz w:val="20"/>
        </w:rPr>
        <w:t>QUARTERLY REPORT PURSUANT TO SECTION 13 OR 15(d) OF THE SECURITIES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EXCHANGE ACT OF 1934</w:t>
      </w:r>
    </w:p>
    <w:p>
      <w:pPr>
        <w:pStyle w:val="TextBody"/>
        <w:bidi w:val="0"/>
        <w:spacing w:lineRule="auto" w:line="288" w:before="0" w:after="240"/>
        <w:jc w:val="center"/>
      </w:pPr>
      <w:r>
        <w:rPr>
          <w:rFonts w:ascii="Times New Roman;serif" w:hAnsi="Times New Roman;serif"/>
          <w:b w:val="false"/>
          <w:color w:val="000000"/>
          <w:sz w:val="20"/>
        </w:rPr>
        <w:t xml:space="preserve">For the quarterly period ended </w:t>
      </w:r>
      <w:r>
        <w:rPr>
          <w:rFonts w:ascii="Times New Roman;serif" w:hAnsi="Times New Roman;serif"/>
          <w:b/>
          <w:color w:val="000000"/>
          <w:sz w:val="20"/>
        </w:rPr>
        <w:t>September 30, 2026</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0" w:after="0"/>
        <w:jc w:val="center"/>
      </w:pPr>
      <w:r>
        <w:rPr>
          <w:color w:val="000000"/>
        </w:rPr>
        <w:t xml:space="preserve">☐ </w:t>
      </w:r>
      <w:r>
        <w:rPr>
          <w:rFonts w:ascii="Times New Roman;serif" w:hAnsi="Times New Roman;serif"/>
          <w:b w:val="false"/>
          <w:color w:val="000000"/>
          <w:sz w:val="20"/>
        </w:rPr>
        <w:t>TRANSITION REPORT PURSUANT TO SECTION 13 OR 15(d) OF THE SECURITIES</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EXCHANGE ACT OF 1934</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_______to_______</w:t>
      </w:r>
    </w:p>
    <w:p>
      <w:pPr>
        <w:pStyle w:val="TextBody"/>
        <w:bidi w:val="0"/>
        <w:spacing w:before="0" w:after="240"/>
        <w:jc w:val="center"/>
      </w:pPr>
      <w:r>
        <w:drawing>
          <wp:inline distT="0" distB="0" distL="0" distR="0">
            <wp:extent cx="286702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67025" cy="657225"/>
                    </a:xfrm>
                    <a:prstGeom prst="rect">
                      <a:avLst/>
                    </a:prstGeom>
                  </pic:spPr>
                </pic:pic>
              </a:graphicData>
            </a:graphic>
          </wp:inline>
        </w:drawing>
      </w:r>
      <w:bookmarkStart w:id="0" w:name="i-1"/>
      <w:bookmarkEnd w:id="0"/>
    </w:p>
    <w:tbl>
      <w:tblPr>
        <w:tblW w:w="8241" w:type="dxa"/>
        <w:jc w:val="center"/>
        <w:tblInd w:w="0" w:type="dxa"/>
        <w:tblLayout w:type="fixed"/>
        <w:tblCellMar>
          <w:top w:w="28" w:type="dxa"/>
          <w:left w:w="28" w:type="dxa"/>
          <w:bottom w:w="28" w:type="dxa"/>
          <w:right w:w="28" w:type="dxa"/>
        </w:tblCellMar>
      </w:tblPr>
      <w:tblGrid>
        <w:gridCol w:w="429"/>
        <w:gridCol w:w="377"/>
        <w:gridCol w:w="378"/>
        <w:gridCol w:w="109"/>
        <w:gridCol w:w="109"/>
        <w:gridCol w:w="109"/>
        <w:gridCol w:w="1458"/>
        <w:gridCol w:w="1458"/>
        <w:gridCol w:w="1463"/>
        <w:gridCol w:w="109"/>
        <w:gridCol w:w="109"/>
        <w:gridCol w:w="109"/>
        <w:gridCol w:w="591"/>
        <w:gridCol w:w="591"/>
        <w:gridCol w:w="842"/>
      </w:tblGrid>
      <w:t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of incorporation, address of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Identification Number</w:t>
            </w:r>
          </w:p>
        </w:tc>
      </w:tr>
      <w:tr>
        <w:tc>
          <w:tcPr>
            <w:tcW w:w="1184"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001-38515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82-2733395</w:t>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Missouri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1200 Main Street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Kansas City, Missouri 64105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(816) 556-2200</w:t>
      </w:r>
    </w:p>
    <w:tbl>
      <w:tblPr>
        <w:tblW w:w="6038"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1069"/>
        <w:gridCol w:w="1069"/>
        <w:gridCol w:w="1072"/>
        <w:gridCol w:w="109"/>
        <w:gridCol w:w="109"/>
        <w:gridCol w:w="109"/>
        <w:gridCol w:w="337"/>
        <w:gridCol w:w="337"/>
        <w:gridCol w:w="480"/>
      </w:tblGrid>
      <w:t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001-03523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48-0290150</w:t>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Kansas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818 South Kansas Avenue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Topeka, Kansas 66612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(785) 575-6300</w:t>
      </w:r>
    </w:p>
    <w:tbl>
      <w:tblPr>
        <w:tblW w:w="5017" w:type="dxa"/>
        <w:jc w:val="center"/>
        <w:tblInd w:w="0" w:type="dxa"/>
        <w:tblLayout w:type="fixed"/>
        <w:tblCellMar>
          <w:top w:w="28" w:type="dxa"/>
          <w:left w:w="28" w:type="dxa"/>
          <w:bottom w:w="28" w:type="dxa"/>
          <w:right w:w="28" w:type="dxa"/>
        </w:tblCellMar>
      </w:tblPr>
      <w:tblGrid>
        <w:gridCol w:w="369"/>
        <w:gridCol w:w="324"/>
        <w:gridCol w:w="327"/>
        <w:gridCol w:w="109"/>
        <w:gridCol w:w="109"/>
        <w:gridCol w:w="109"/>
        <w:gridCol w:w="729"/>
        <w:gridCol w:w="729"/>
        <w:gridCol w:w="731"/>
        <w:gridCol w:w="109"/>
        <w:gridCol w:w="109"/>
        <w:gridCol w:w="109"/>
        <w:gridCol w:w="337"/>
        <w:gridCol w:w="337"/>
        <w:gridCol w:w="480"/>
      </w:tblGrid>
      <w:t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000-51873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44-0308720</w:t>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 Missouri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1200 Main Street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Kansas City, Missouri 64105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(816) 556-2200</w:t>
      </w:r>
    </w:p>
    <w:tbl>
      <w:tblPr>
        <w:tblW w:w="10205" w:type="dxa"/>
        <w:jc w:val="center"/>
        <w:tblInd w:w="0" w:type="dxa"/>
        <w:tblLayout w:type="fixed"/>
        <w:tblCellMar>
          <w:top w:w="28" w:type="dxa"/>
          <w:left w:w="28" w:type="dxa"/>
          <w:bottom w:w="28" w:type="dxa"/>
          <w:right w:w="28" w:type="dxa"/>
        </w:tblCellMar>
      </w:tblPr>
      <w:tblGrid>
        <w:gridCol w:w="762"/>
        <w:gridCol w:w="611"/>
        <w:gridCol w:w="618"/>
        <w:gridCol w:w="109"/>
        <w:gridCol w:w="109"/>
        <w:gridCol w:w="109"/>
        <w:gridCol w:w="1451"/>
        <w:gridCol w:w="1451"/>
        <w:gridCol w:w="1455"/>
        <w:gridCol w:w="109"/>
        <w:gridCol w:w="109"/>
        <w:gridCol w:w="109"/>
        <w:gridCol w:w="935"/>
        <w:gridCol w:w="935"/>
        <w:gridCol w:w="1333"/>
      </w:tblGrid>
      <w:tr>
        <w:tc>
          <w:tcPr>
            <w:tcW w:w="76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c>
          <w:tcPr>
            <w:tcW w:w="1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Securities registered pursuant to Section 12(b) of the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Evergy, Inc.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EVRG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c>
          <w:tcPr>
            <w:tcW w:w="19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34"/>
        <w:gridCol w:w="257"/>
        <w:gridCol w:w="124"/>
        <w:gridCol w:w="113"/>
        <w:gridCol w:w="113"/>
        <w:gridCol w:w="113"/>
        <w:gridCol w:w="113"/>
        <w:gridCol w:w="113"/>
        <w:gridCol w:w="113"/>
        <w:gridCol w:w="113"/>
        <w:gridCol w:w="113"/>
        <w:gridCol w:w="113"/>
        <w:gridCol w:w="176"/>
        <w:gridCol w:w="113"/>
        <w:gridCol w:w="113"/>
        <w:gridCol w:w="113"/>
        <w:gridCol w:w="113"/>
        <w:gridCol w:w="113"/>
        <w:gridCol w:w="113"/>
        <w:gridCol w:w="113"/>
        <w:gridCol w:w="113"/>
        <w:gridCol w:w="113"/>
        <w:gridCol w:w="113"/>
        <w:gridCol w:w="113"/>
        <w:gridCol w:w="113"/>
        <w:gridCol w:w="113"/>
        <w:gridCol w:w="113"/>
        <w:gridCol w:w="117"/>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113"/>
        <w:gridCol w:w="339"/>
        <w:gridCol w:w="339"/>
        <w:gridCol w:w="339"/>
        <w:gridCol w:w="339"/>
        <w:gridCol w:w="483"/>
        <w:gridCol w:w="345"/>
        <w:gridCol w:w="459"/>
      </w:tblGrid>
      <w:tr>
        <w:tc>
          <w:tcPr>
            <w:tcW w:w="33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c>
          <w:tcPr>
            <w:tcW w:w="10205" w:type="dxa"/>
            <w:gridSpan w:val="84"/>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14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1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14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14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6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203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2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4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8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w:t>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Metro, Inc.</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Yes</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w:t>
            </w:r>
          </w:p>
        </w:tc>
        <w:tc>
          <w:tcPr>
            <w:tcW w:w="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54" w:type="dxa"/>
            <w:gridSpan w:val="60"/>
            <w:tcBorders/>
          </w:tcPr>
          <w:p>
            <w:pPr>
              <w:pStyle w:val="TableContents"/>
              <w:bidi w:val="0"/>
              <w:spacing w:before="0" w:after="283"/>
              <w:jc w:val="left"/>
              <w:rPr>
                <w:sz w:val="4"/>
                <w:szCs w:val="4"/>
              </w:rPr>
            </w:pPr>
            <w:r>
              <w:rPr>
                <w:sz w:val="4"/>
                <w:szCs w:val="4"/>
              </w:rPr>
            </w:r>
          </w:p>
        </w:tc>
      </w:tr>
      <w:tr>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43"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r>
      <w:tr>
        <w:tc>
          <w:tcPr>
            <w:tcW w:w="71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054" w:type="dxa"/>
            <w:gridSpan w:val="60"/>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On October 30, 2026, Evergy, Inc. had 234,496,657 shares of common stock outstanding.  On October 30, 2026, Evergy Metro, Inc. and Evergy Kansas Central, Inc. each had one share of common stock outstanding and held by Evergy, Inc.</w:t>
      </w:r>
    </w:p>
    <w:tbl>
      <w:tblPr>
        <w:tblW w:w="10205" w:type="dxa"/>
        <w:jc w:val="left"/>
        <w:tblInd w:w="0" w:type="dxa"/>
        <w:tblLayout w:type="fixed"/>
        <w:tblCellMar>
          <w:top w:w="28" w:type="dxa"/>
          <w:left w:w="28" w:type="dxa"/>
          <w:bottom w:w="28" w:type="dxa"/>
          <w:right w:w="28" w:type="dxa"/>
        </w:tblCellMar>
      </w:tblPr>
      <w:tblGrid>
        <w:gridCol w:w="182"/>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160"/>
        <w:gridCol w:w="263"/>
      </w:tblGrid>
      <w:t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c>
          <w:tcPr>
            <w:tcW w:w="10205" w:type="dxa"/>
            <w:gridSpan w:val="6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Kansas Central, Inc. and Evergy Metro, Inc. meet the conditions set forth in General Instruction (H)(1)(a) and (b) of Form 10-Q and are therefore filing this Form 10-Q with the reduced disclosure format.</w:t>
            </w:r>
          </w:p>
        </w:tc>
      </w:tr>
    </w:tbl>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combined Quarterly Report on Form 10-Q is provided by the following registrants: Evergy, Inc., Evergy Kansas Central, Inc. and Evergy Metro, Inc. (collectively, the Evergy Companies). Information relating to any individual registrant is filed by such registrant solely on its own behalf. Each registrant makes no representation as to information relating exclusively to the other registrants.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This report should be read in its entirety.  No one section of the report deals with all aspects of the subject matter.  It should be read in conjunction with the consolidated financial statements and related notes and with management's discussion and analysis of financial condition and results of operations included in the annual report on Form 10-K for the fiscal year ended December 31, 2025 for each of the Evergy Companies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692"/>
        <w:gridCol w:w="461"/>
        <w:gridCol w:w="461"/>
        <w:gridCol w:w="1321"/>
        <w:gridCol w:w="1159"/>
        <w:gridCol w:w="1159"/>
        <w:gridCol w:w="1553"/>
        <w:gridCol w:w="1147"/>
        <w:gridCol w:w="1130"/>
        <w:gridCol w:w="326"/>
        <w:gridCol w:w="326"/>
        <w:gridCol w:w="470"/>
      </w:tblGrid>
      <w:tr>
        <w:tc>
          <w:tcPr>
            <w:tcW w:w="69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TABLE OF CONTENTS</w:t>
            </w:r>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 Number</w:t>
            </w:r>
          </w:p>
        </w:tc>
      </w:tr>
      <w:t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289">
              <w:r>
                <w:rPr>
                  <w:rStyle w:val="InternetLink"/>
                  <w:rFonts w:ascii="Times New Roman;serif" w:hAnsi="Times New Roman;serif"/>
                  <w:b w:val="false"/>
                  <w:color w:val="0000FF"/>
                  <w:sz w:val="20"/>
                  <w:u w:val="single"/>
                </w:rPr>
                <w:t>Cautionary Statements Regarding Certain Forward-Looking Information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289">
              <w:r>
                <w:rPr>
                  <w:rStyle w:val="InternetLink"/>
                  <w:rFonts w:ascii="Times New Roman;serif" w:hAnsi="Times New Roman;serif"/>
                  <w:b w:val="false"/>
                  <w:color w:val="0000FF"/>
                  <w:sz w:val="20"/>
                  <w:u w:val="single"/>
                </w:rPr>
                <w:t>4</w:t>
              </w:r>
            </w:hyperlink>
          </w:p>
        </w:tc>
      </w:tr>
      <w:t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9">
              <w:r>
                <w:rPr>
                  <w:rStyle w:val="InternetLink"/>
                  <w:rFonts w:ascii="Times New Roman;serif" w:hAnsi="Times New Roman;serif"/>
                  <w:b w:val="false"/>
                  <w:color w:val="0000FF"/>
                  <w:sz w:val="20"/>
                  <w:u w:val="single"/>
                </w:rPr>
                <w:t>Glossary of Terms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9">
              <w:r>
                <w:rPr>
                  <w:rStyle w:val="InternetLink"/>
                  <w:rFonts w:ascii="Times New Roman;serif" w:hAnsi="Times New Roman;serif"/>
                  <w:b w:val="false"/>
                  <w:color w:val="0000FF"/>
                  <w:sz w:val="20"/>
                  <w:u w:val="single"/>
                </w:rPr>
                <w:t>7</w:t>
              </w:r>
            </w:hyperlink>
          </w:p>
        </w:tc>
      </w:tr>
      <w:tr>
        <w:tc>
          <w:tcPr>
            <w:tcW w:w="908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46">
              <w:r>
                <w:rPr>
                  <w:rStyle w:val="InternetLink"/>
                  <w:rFonts w:ascii="Times New Roman;serif" w:hAnsi="Times New Roman;serif"/>
                  <w:b/>
                  <w:color w:val="0000FF"/>
                  <w:sz w:val="20"/>
                  <w:u w:val="single"/>
                </w:rPr>
                <w:t>Part I - Financial Information</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58">
              <w:r>
                <w:rPr>
                  <w:rStyle w:val="InternetLink"/>
                  <w:rFonts w:ascii="Times New Roman;serif" w:hAnsi="Times New Roman;serif"/>
                  <w:b w:val="false"/>
                  <w:color w:val="0000FF"/>
                  <w:sz w:val="20"/>
                  <w:u w:val="single"/>
                </w:rPr>
                <w:t>Financial Statements</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73">
              <w:r>
                <w:rPr>
                  <w:rStyle w:val="InternetLink"/>
                  <w:rFonts w:ascii="Times New Roman;serif" w:hAnsi="Times New Roman;serif"/>
                  <w:b/>
                  <w:color w:val="0000FF"/>
                  <w:sz w:val="20"/>
                  <w:u w:val="single"/>
                </w:rPr>
                <w:t>Evergy, Inc.</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73">
              <w:r>
                <w:rPr>
                  <w:rStyle w:val="InternetLink"/>
                  <w:rFonts w:ascii="Times New Roman;serif" w:hAnsi="Times New Roman;serif"/>
                  <w:b w:val="false"/>
                  <w:color w:val="0000FF"/>
                  <w:sz w:val="20"/>
                  <w:u w:val="single"/>
                </w:rPr>
                <w:t>Unaudited Consolidated Balance Sheets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73">
              <w:r>
                <w:rPr>
                  <w:rStyle w:val="InternetLink"/>
                  <w:rFonts w:ascii="Times New Roman;serif" w:hAnsi="Times New Roman;serif"/>
                  <w:b w:val="false"/>
                  <w:color w:val="0000FF"/>
                  <w:sz w:val="20"/>
                  <w:u w:val="single"/>
                </w:rPr>
                <w:t>9</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76">
              <w:r>
                <w:rPr>
                  <w:rStyle w:val="InternetLink"/>
                  <w:rFonts w:ascii="Times New Roman;serif" w:hAnsi="Times New Roman;serif"/>
                  <w:b w:val="false"/>
                  <w:color w:val="0000FF"/>
                  <w:sz w:val="20"/>
                  <w:u w:val="single"/>
                </w:rPr>
                <w:t>Unaudited Consolidated Statements of Comprehensive Income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76">
              <w:r>
                <w:rPr>
                  <w:rStyle w:val="InternetLink"/>
                  <w:rFonts w:ascii="Times New Roman;serif" w:hAnsi="Times New Roman;serif"/>
                  <w:b w:val="false"/>
                  <w:color w:val="0000FF"/>
                  <w:sz w:val="20"/>
                  <w:u w:val="single"/>
                </w:rPr>
                <w:t>11</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79">
              <w:r>
                <w:rPr>
                  <w:rStyle w:val="InternetLink"/>
                  <w:rFonts w:ascii="Times New Roman;serif" w:hAnsi="Times New Roman;serif"/>
                  <w:b w:val="false"/>
                  <w:color w:val="0000FF"/>
                  <w:sz w:val="20"/>
                  <w:u w:val="single"/>
                </w:rPr>
                <w:t>Unaudited Consolidated Statements of Cash Flows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79">
              <w:r>
                <w:rPr>
                  <w:rStyle w:val="InternetLink"/>
                  <w:rFonts w:ascii="Times New Roman;serif" w:hAnsi="Times New Roman;serif"/>
                  <w:b w:val="false"/>
                  <w:color w:val="0000FF"/>
                  <w:sz w:val="20"/>
                  <w:u w:val="single"/>
                </w:rPr>
                <w:t>12</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pPr>
            <w:hyperlink w:anchor="i08898d38c82b47d6b6210aebbde2f168_82">
              <w:r>
                <w:rPr>
                  <w:rStyle w:val="InternetLink"/>
                  <w:rFonts w:ascii="Times New Roman;serif" w:hAnsi="Times New Roman;serif"/>
                  <w:b w:val="false"/>
                  <w:color w:val="0000FF"/>
                  <w:sz w:val="20"/>
                  <w:u w:val="single"/>
                </w:rPr>
                <w:t>Unaudited Consolidated Statements of Changes in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82">
              <w:r>
                <w:rPr>
                  <w:rStyle w:val="InternetLink"/>
                  <w:rFonts w:ascii="Times New Roman;serif" w:hAnsi="Times New Roman;serif"/>
                  <w:b w:val="false"/>
                  <w:color w:val="0000FF"/>
                  <w:sz w:val="20"/>
                  <w:u w:val="single"/>
                </w:rPr>
                <w:t>13</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88">
              <w:r>
                <w:rPr>
                  <w:rStyle w:val="InternetLink"/>
                  <w:rFonts w:ascii="Times New Roman;serif" w:hAnsi="Times New Roman;serif"/>
                  <w:b/>
                  <w:color w:val="0000FF"/>
                  <w:sz w:val="20"/>
                  <w:u w:val="single"/>
                </w:rPr>
                <w:t>Evergy Kansas Central, Inc.</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88">
              <w:r>
                <w:rPr>
                  <w:rStyle w:val="InternetLink"/>
                  <w:rFonts w:ascii="Times New Roman;serif" w:hAnsi="Times New Roman;serif"/>
                  <w:b w:val="false"/>
                  <w:color w:val="0000FF"/>
                  <w:sz w:val="20"/>
                  <w:u w:val="single"/>
                </w:rPr>
                <w:t>Unaudited Consolidated Balance Sheets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88">
              <w:r>
                <w:rPr>
                  <w:rStyle w:val="InternetLink"/>
                  <w:rFonts w:ascii="Times New Roman;serif" w:hAnsi="Times New Roman;serif"/>
                  <w:b w:val="false"/>
                  <w:color w:val="0000FF"/>
                  <w:sz w:val="20"/>
                  <w:u w:val="single"/>
                </w:rPr>
                <w:t>15</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91">
              <w:r>
                <w:rPr>
                  <w:rStyle w:val="InternetLink"/>
                  <w:rFonts w:ascii="Times New Roman;serif" w:hAnsi="Times New Roman;serif"/>
                  <w:b w:val="false"/>
                  <w:color w:val="0000FF"/>
                  <w:sz w:val="20"/>
                  <w:u w:val="single"/>
                </w:rPr>
                <w:t>Unaudited Consolidated Statements of Income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91">
              <w:r>
                <w:rPr>
                  <w:rStyle w:val="InternetLink"/>
                  <w:rFonts w:ascii="Times New Roman;serif" w:hAnsi="Times New Roman;serif"/>
                  <w:b w:val="false"/>
                  <w:color w:val="0000FF"/>
                  <w:sz w:val="20"/>
                  <w:u w:val="single"/>
                </w:rPr>
                <w:t>17</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94">
              <w:r>
                <w:rPr>
                  <w:rStyle w:val="InternetLink"/>
                  <w:rFonts w:ascii="Times New Roman;serif" w:hAnsi="Times New Roman;serif"/>
                  <w:b w:val="false"/>
                  <w:color w:val="0000FF"/>
                  <w:sz w:val="20"/>
                  <w:u w:val="single"/>
                </w:rPr>
                <w:t>Unaudited Consolidated Statements of Cash Flows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94">
              <w:r>
                <w:rPr>
                  <w:rStyle w:val="InternetLink"/>
                  <w:rFonts w:ascii="Times New Roman;serif" w:hAnsi="Times New Roman;serif"/>
                  <w:b w:val="false"/>
                  <w:color w:val="0000FF"/>
                  <w:sz w:val="20"/>
                  <w:u w:val="single"/>
                </w:rPr>
                <w:t>18</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pPr>
            <w:hyperlink w:anchor="i08898d38c82b47d6b6210aebbde2f168_97">
              <w:r>
                <w:rPr>
                  <w:rStyle w:val="InternetLink"/>
                  <w:rFonts w:ascii="Times New Roman;serif" w:hAnsi="Times New Roman;serif"/>
                  <w:b w:val="false"/>
                  <w:color w:val="0000FF"/>
                  <w:sz w:val="20"/>
                  <w:u w:val="single"/>
                </w:rPr>
                <w:t>Unaudited Consolidated Statements of Changes in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97">
              <w:r>
                <w:rPr>
                  <w:rStyle w:val="InternetLink"/>
                  <w:rFonts w:ascii="Times New Roman;serif" w:hAnsi="Times New Roman;serif"/>
                  <w:b w:val="false"/>
                  <w:color w:val="0000FF"/>
                  <w:sz w:val="20"/>
                  <w:u w:val="single"/>
                </w:rPr>
                <w:t>19</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03">
              <w:r>
                <w:rPr>
                  <w:rStyle w:val="InternetLink"/>
                  <w:rFonts w:ascii="Times New Roman;serif" w:hAnsi="Times New Roman;serif"/>
                  <w:b/>
                  <w:color w:val="0000FF"/>
                  <w:sz w:val="20"/>
                  <w:u w:val="single"/>
                </w:rPr>
                <w:t>Evergy Metro, Inc.</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03">
              <w:r>
                <w:rPr>
                  <w:rStyle w:val="InternetLink"/>
                  <w:rFonts w:ascii="Times New Roman;serif" w:hAnsi="Times New Roman;serif"/>
                  <w:b w:val="false"/>
                  <w:color w:val="0000FF"/>
                  <w:sz w:val="20"/>
                  <w:u w:val="single"/>
                </w:rPr>
                <w:t>Unaudited Consolidated Balance Sheets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03">
              <w:r>
                <w:rPr>
                  <w:rStyle w:val="InternetLink"/>
                  <w:rFonts w:ascii="Times New Roman;serif" w:hAnsi="Times New Roman;serif"/>
                  <w:b w:val="false"/>
                  <w:color w:val="0000FF"/>
                  <w:sz w:val="20"/>
                  <w:u w:val="single"/>
                </w:rPr>
                <w:t>20</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06">
              <w:r>
                <w:rPr>
                  <w:rStyle w:val="InternetLink"/>
                  <w:rFonts w:ascii="Times New Roman;serif" w:hAnsi="Times New Roman;serif"/>
                  <w:b w:val="false"/>
                  <w:color w:val="0000FF"/>
                  <w:sz w:val="20"/>
                  <w:u w:val="single"/>
                </w:rPr>
                <w:t>Unaudited Consolidated Statements of Comprehensive Income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06">
              <w:r>
                <w:rPr>
                  <w:rStyle w:val="InternetLink"/>
                  <w:rFonts w:ascii="Times New Roman;serif" w:hAnsi="Times New Roman;serif"/>
                  <w:b w:val="false"/>
                  <w:color w:val="0000FF"/>
                  <w:sz w:val="20"/>
                  <w:u w:val="single"/>
                </w:rPr>
                <w:t>22</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09">
              <w:r>
                <w:rPr>
                  <w:rStyle w:val="InternetLink"/>
                  <w:rFonts w:ascii="Times New Roman;serif" w:hAnsi="Times New Roman;serif"/>
                  <w:b w:val="false"/>
                  <w:color w:val="0000FF"/>
                  <w:sz w:val="20"/>
                  <w:u w:val="single"/>
                </w:rPr>
                <w:t>Unaudited Consolidated Statements of Cash Flows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09">
              <w:r>
                <w:rPr>
                  <w:rStyle w:val="InternetLink"/>
                  <w:rFonts w:ascii="Times New Roman;serif" w:hAnsi="Times New Roman;serif"/>
                  <w:b w:val="false"/>
                  <w:color w:val="0000FF"/>
                  <w:sz w:val="20"/>
                  <w:u w:val="single"/>
                </w:rPr>
                <w:t>23</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12">
              <w:r>
                <w:rPr>
                  <w:rStyle w:val="InternetLink"/>
                  <w:rFonts w:ascii="Times New Roman;serif" w:hAnsi="Times New Roman;serif"/>
                  <w:b w:val="false"/>
                  <w:color w:val="0000FF"/>
                  <w:sz w:val="20"/>
                  <w:u w:val="single"/>
                </w:rPr>
                <w:t>Unaudited Consolidated Statements of Changes in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12">
              <w:r>
                <w:rPr>
                  <w:rStyle w:val="InternetLink"/>
                  <w:rFonts w:ascii="Times New Roman;serif" w:hAnsi="Times New Roman;serif"/>
                  <w:b w:val="false"/>
                  <w:color w:val="0000FF"/>
                  <w:sz w:val="20"/>
                  <w:u w:val="single"/>
                </w:rPr>
                <w:t>24</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08898d38c82b47d6b6210aebbde2f168_118">
              <w:r>
                <w:rPr>
                  <w:rStyle w:val="InternetLink"/>
                  <w:rFonts w:ascii="Times New Roman;serif" w:hAnsi="Times New Roman;serif"/>
                  <w:b w:val="false"/>
                  <w:color w:val="0000FF"/>
                  <w:sz w:val="20"/>
                  <w:u w:val="single"/>
                </w:rPr>
                <w:t>Combined Notes to Unaudited Consolidated Financial Statements for Evergy, Inc., Evergy Kansas Central, Inc. and Evergy Metro, Inc.</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18">
              <w:r>
                <w:rPr>
                  <w:rStyle w:val="InternetLink"/>
                  <w:rFonts w:ascii="Times New Roman;serif" w:hAnsi="Times New Roman;serif"/>
                  <w:b w:val="false"/>
                  <w:color w:val="0000FF"/>
                  <w:sz w:val="20"/>
                  <w:u w:val="single"/>
                </w:rPr>
                <w:t>25</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1: </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317">
              <w:r>
                <w:rPr>
                  <w:rStyle w:val="InternetLink"/>
                  <w:rFonts w:ascii="Times New Roman;serif" w:hAnsi="Times New Roman;serif"/>
                  <w:b w:val="false"/>
                  <w:color w:val="0000FF"/>
                  <w:sz w:val="20"/>
                  <w:u w:val="single"/>
                </w:rPr>
                <w:t>Organization and Basis of Presentation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317">
              <w:r>
                <w:rPr>
                  <w:rStyle w:val="InternetLink"/>
                  <w:rFonts w:ascii="Times New Roman;serif" w:hAnsi="Times New Roman;serif"/>
                  <w:b w:val="false"/>
                  <w:color w:val="0000FF"/>
                  <w:sz w:val="20"/>
                  <w:u w:val="single"/>
                </w:rPr>
                <w:t>25</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Note 2:</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27">
              <w:r>
                <w:rPr>
                  <w:rStyle w:val="InternetLink"/>
                  <w:rFonts w:ascii="Times New Roman;serif" w:hAnsi="Times New Roman;serif"/>
                  <w:b w:val="false"/>
                  <w:color w:val="0000FF"/>
                  <w:sz w:val="20"/>
                  <w:u w:val="single"/>
                </w:rPr>
                <w:t>Revenue</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27">
              <w:r>
                <w:rPr>
                  <w:rStyle w:val="InternetLink"/>
                  <w:rFonts w:ascii="Times New Roman;serif" w:hAnsi="Times New Roman;serif"/>
                  <w:b w:val="false"/>
                  <w:color w:val="0000FF"/>
                  <w:sz w:val="20"/>
                  <w:u w:val="single"/>
                </w:rPr>
                <w:t>33</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3: </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33">
              <w:r>
                <w:rPr>
                  <w:rStyle w:val="InternetLink"/>
                  <w:rFonts w:ascii="Times New Roman;serif" w:hAnsi="Times New Roman;serif"/>
                  <w:b w:val="false"/>
                  <w:color w:val="0000FF"/>
                  <w:sz w:val="20"/>
                  <w:u w:val="single"/>
                </w:rPr>
                <w:t>Receivables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33">
              <w:r>
                <w:rPr>
                  <w:rStyle w:val="InternetLink"/>
                  <w:rFonts w:ascii="Times New Roman;serif" w:hAnsi="Times New Roman;serif"/>
                  <w:b w:val="false"/>
                  <w:color w:val="0000FF"/>
                  <w:sz w:val="20"/>
                  <w:u w:val="single"/>
                </w:rPr>
                <w:t>35</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4: </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36">
              <w:r>
                <w:rPr>
                  <w:rStyle w:val="InternetLink"/>
                  <w:rFonts w:ascii="Times New Roman;serif" w:hAnsi="Times New Roman;serif"/>
                  <w:b w:val="false"/>
                  <w:color w:val="0000FF"/>
                  <w:sz w:val="20"/>
                  <w:u w:val="single"/>
                </w:rPr>
                <w:t>Rate Matters and Regulation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36">
              <w:r>
                <w:rPr>
                  <w:rStyle w:val="InternetLink"/>
                  <w:rFonts w:ascii="Times New Roman;serif" w:hAnsi="Times New Roman;serif"/>
                  <w:b w:val="false"/>
                  <w:color w:val="0000FF"/>
                  <w:sz w:val="20"/>
                  <w:u w:val="single"/>
                </w:rPr>
                <w:t>37</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5:</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42">
              <w:r>
                <w:rPr>
                  <w:rStyle w:val="InternetLink"/>
                  <w:rFonts w:ascii="Times New Roman;serif" w:hAnsi="Times New Roman;serif"/>
                  <w:b w:val="false"/>
                  <w:color w:val="0000FF"/>
                  <w:sz w:val="20"/>
                  <w:u w:val="single"/>
                </w:rPr>
                <w:t>Goodwill</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42">
              <w:r>
                <w:rPr>
                  <w:rStyle w:val="InternetLink"/>
                  <w:rFonts w:ascii="Times New Roman;serif" w:hAnsi="Times New Roman;serif"/>
                  <w:b w:val="false"/>
                  <w:color w:val="0000FF"/>
                  <w:sz w:val="20"/>
                  <w:u w:val="single"/>
                </w:rPr>
                <w:t>39</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6:</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45">
              <w:r>
                <w:rPr>
                  <w:rStyle w:val="InternetLink"/>
                  <w:rFonts w:ascii="Times New Roman;serif" w:hAnsi="Times New Roman;serif"/>
                  <w:b w:val="false"/>
                  <w:color w:val="0000FF"/>
                  <w:sz w:val="20"/>
                  <w:u w:val="single"/>
                </w:rPr>
                <w:t>Pension Plans and Post-Retirement Benefits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45">
              <w:r>
                <w:rPr>
                  <w:rStyle w:val="InternetLink"/>
                  <w:rFonts w:ascii="Times New Roman;serif" w:hAnsi="Times New Roman;serif"/>
                  <w:b w:val="false"/>
                  <w:color w:val="0000FF"/>
                  <w:sz w:val="20"/>
                  <w:u w:val="single"/>
                </w:rPr>
                <w:t>39</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7:</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63">
              <w:r>
                <w:rPr>
                  <w:rStyle w:val="InternetLink"/>
                  <w:rFonts w:ascii="Times New Roman;serif" w:hAnsi="Times New Roman;serif"/>
                  <w:b w:val="false"/>
                  <w:color w:val="0000FF"/>
                  <w:sz w:val="20"/>
                  <w:u w:val="single"/>
                </w:rPr>
                <w:t>Short-Term Borrowings and Short-Term Bank Lines of Credit</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63">
              <w:r>
                <w:rPr>
                  <w:rStyle w:val="InternetLink"/>
                  <w:rFonts w:ascii="Times New Roman;serif" w:hAnsi="Times New Roman;serif"/>
                  <w:b w:val="false"/>
                  <w:color w:val="0000FF"/>
                  <w:sz w:val="20"/>
                  <w:u w:val="single"/>
                </w:rPr>
                <w:t>42</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8:</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66">
              <w:r>
                <w:rPr>
                  <w:rStyle w:val="InternetLink"/>
                  <w:rFonts w:ascii="Times New Roman;serif" w:hAnsi="Times New Roman;serif"/>
                  <w:b w:val="false"/>
                  <w:color w:val="0000FF"/>
                  <w:sz w:val="20"/>
                  <w:u w:val="single"/>
                </w:rPr>
                <w:t>Long-Term Debt</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66">
              <w:r>
                <w:rPr>
                  <w:rStyle w:val="InternetLink"/>
                  <w:rFonts w:ascii="Times New Roman;serif" w:hAnsi="Times New Roman;serif"/>
                  <w:b w:val="false"/>
                  <w:color w:val="0000FF"/>
                  <w:sz w:val="20"/>
                  <w:u w:val="single"/>
                </w:rPr>
                <w:t>44</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9:</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75">
              <w:r>
                <w:rPr>
                  <w:rStyle w:val="InternetLink"/>
                  <w:rFonts w:ascii="Times New Roman;serif" w:hAnsi="Times New Roman;serif"/>
                  <w:b w:val="false"/>
                  <w:color w:val="0000FF"/>
                  <w:sz w:val="20"/>
                  <w:u w:val="single"/>
                </w:rPr>
                <w:t>Derivative Instruments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75">
              <w:r>
                <w:rPr>
                  <w:rStyle w:val="InternetLink"/>
                  <w:rFonts w:ascii="Times New Roman;serif" w:hAnsi="Times New Roman;serif"/>
                  <w:b w:val="false"/>
                  <w:color w:val="0000FF"/>
                  <w:sz w:val="20"/>
                  <w:u w:val="single"/>
                </w:rPr>
                <w:t>45</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10:</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78">
              <w:r>
                <w:rPr>
                  <w:rStyle w:val="InternetLink"/>
                  <w:rFonts w:ascii="Times New Roman;serif" w:hAnsi="Times New Roman;serif"/>
                  <w:b w:val="false"/>
                  <w:color w:val="0000FF"/>
                  <w:sz w:val="20"/>
                  <w:u w:val="single"/>
                </w:rPr>
                <w:t>Fair Value Measurements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78">
              <w:r>
                <w:rPr>
                  <w:rStyle w:val="InternetLink"/>
                  <w:rFonts w:ascii="Times New Roman;serif" w:hAnsi="Times New Roman;serif"/>
                  <w:b w:val="false"/>
                  <w:color w:val="0000FF"/>
                  <w:sz w:val="20"/>
                  <w:u w:val="single"/>
                </w:rPr>
                <w:t>50</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11:</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81">
              <w:r>
                <w:rPr>
                  <w:rStyle w:val="InternetLink"/>
                  <w:rFonts w:ascii="Times New Roman;serif" w:hAnsi="Times New Roman;serif"/>
                  <w:b w:val="false"/>
                  <w:color w:val="0000FF"/>
                  <w:sz w:val="20"/>
                  <w:u w:val="single"/>
                </w:rPr>
                <w:t>Commitments and Contingencies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81">
              <w:r>
                <w:rPr>
                  <w:rStyle w:val="InternetLink"/>
                  <w:rFonts w:ascii="Times New Roman;serif" w:hAnsi="Times New Roman;serif"/>
                  <w:b w:val="false"/>
                  <w:color w:val="0000FF"/>
                  <w:sz w:val="20"/>
                  <w:u w:val="single"/>
                </w:rPr>
                <w:t>55</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12:</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87">
              <w:r>
                <w:rPr>
                  <w:rStyle w:val="InternetLink"/>
                  <w:rFonts w:ascii="Times New Roman;serif" w:hAnsi="Times New Roman;serif"/>
                  <w:b w:val="false"/>
                  <w:color w:val="0000FF"/>
                  <w:sz w:val="20"/>
                  <w:u w:val="single"/>
                </w:rPr>
                <w:t>Related Party Transactions and Relationships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87">
              <w:r>
                <w:rPr>
                  <w:rStyle w:val="InternetLink"/>
                  <w:rFonts w:ascii="Times New Roman;serif" w:hAnsi="Times New Roman;serif"/>
                  <w:b w:val="false"/>
                  <w:color w:val="0000FF"/>
                  <w:sz w:val="20"/>
                  <w:u w:val="single"/>
                </w:rPr>
                <w:t>58</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13:</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190">
              <w:r>
                <w:rPr>
                  <w:rStyle w:val="InternetLink"/>
                  <w:rFonts w:ascii="Times New Roman;serif" w:hAnsi="Times New Roman;serif"/>
                  <w:b w:val="false"/>
                  <w:color w:val="0000FF"/>
                  <w:sz w:val="20"/>
                  <w:u w:val="single"/>
                </w:rPr>
                <w:t>Shareholders' Equity</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90">
              <w:r>
                <w:rPr>
                  <w:rStyle w:val="InternetLink"/>
                  <w:rFonts w:ascii="Times New Roman;serif" w:hAnsi="Times New Roman;serif"/>
                  <w:b w:val="false"/>
                  <w:color w:val="0000FF"/>
                  <w:sz w:val="20"/>
                  <w:u w:val="single"/>
                </w:rPr>
                <w:t>60</w:t>
              </w:r>
            </w:hyperlink>
          </w:p>
        </w:tc>
      </w:tr>
      <w:tr>
        <w:tc>
          <w:tcPr>
            <w:tcW w:w="1614" w:type="dxa"/>
            <w:gridSpan w:val="3"/>
            <w:tcBorders/>
            <w:vAlign w:val="center"/>
          </w:tcPr>
          <w:p>
            <w:pPr>
              <w:pStyle w:val="TableContents"/>
              <w:bidi w:val="0"/>
              <w:spacing w:before="0" w:after="283"/>
              <w:jc w:val="left"/>
              <w:rPr>
                <w:sz w:val="4"/>
                <w:szCs w:val="4"/>
              </w:rPr>
            </w:pPr>
            <w:r>
              <w:rPr>
                <w:sz w:val="4"/>
                <w:szCs w:val="4"/>
              </w:rPr>
            </w:r>
          </w:p>
        </w:tc>
        <w:tc>
          <w:tcPr>
            <w:tcW w:w="3639" w:type="dxa"/>
            <w:gridSpan w:val="3"/>
            <w:tcBorders/>
            <w:vAlign w:val="center"/>
          </w:tcPr>
          <w:p>
            <w:pPr>
              <w:pStyle w:val="TableContents"/>
              <w:bidi w:val="0"/>
              <w:spacing w:before="0" w:after="283"/>
              <w:jc w:val="left"/>
              <w:rPr>
                <w:sz w:val="4"/>
                <w:szCs w:val="4"/>
              </w:rPr>
            </w:pPr>
            <w:r>
              <w:rPr>
                <w:sz w:val="4"/>
                <w:szCs w:val="4"/>
              </w:rPr>
            </w:r>
          </w:p>
        </w:tc>
        <w:tc>
          <w:tcPr>
            <w:tcW w:w="3830"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14:</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08898d38c82b47d6b6210aebbde2f168_193">
              <w:r>
                <w:rPr>
                  <w:rStyle w:val="InternetLink"/>
                  <w:rFonts w:ascii="Times New Roman;serif" w:hAnsi="Times New Roman;serif"/>
                  <w:b w:val="false"/>
                  <w:color w:val="0000FF"/>
                  <w:sz w:val="20"/>
                  <w:u w:val="single"/>
                </w:rPr>
                <w:t>Taxes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193">
              <w:r>
                <w:rPr>
                  <w:rStyle w:val="InternetLink"/>
                  <w:rFonts w:ascii="Times New Roman;serif" w:hAnsi="Times New Roman;serif"/>
                  <w:b w:val="false"/>
                  <w:color w:val="0000FF"/>
                  <w:sz w:val="20"/>
                  <w:u w:val="single"/>
                </w:rPr>
                <w:t>61</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Note 15:</w:t>
            </w:r>
          </w:p>
        </w:tc>
        <w:tc>
          <w:tcPr>
            <w:tcW w:w="383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08898d38c82b47d6b6210aebbde2f168_205">
              <w:r>
                <w:rPr>
                  <w:rStyle w:val="InternetLink"/>
                  <w:rFonts w:ascii="Times New Roman;serif" w:hAnsi="Times New Roman;serif"/>
                  <w:b w:val="false"/>
                  <w:color w:val="0000FF"/>
                  <w:sz w:val="20"/>
                  <w:u w:val="single"/>
                </w:rPr>
                <w:t>Segment Information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205">
              <w:r>
                <w:rPr>
                  <w:rStyle w:val="InternetLink"/>
                  <w:rFonts w:ascii="Times New Roman;serif" w:hAnsi="Times New Roman;serif"/>
                  <w:b w:val="false"/>
                  <w:color w:val="0000FF"/>
                  <w:sz w:val="20"/>
                  <w:u w:val="single"/>
                </w:rPr>
                <w:t>62</w:t>
              </w:r>
            </w:hyperlink>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pPr>
            <w:hyperlink w:anchor="i08898d38c82b47d6b6210aebbde2f168_24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241">
              <w:r>
                <w:rPr>
                  <w:rStyle w:val="InternetLink"/>
                  <w:rFonts w:ascii="Times New Roman;serif" w:hAnsi="Times New Roman;serif"/>
                  <w:b w:val="false"/>
                  <w:color w:val="0000FF"/>
                  <w:sz w:val="20"/>
                  <w:u w:val="single"/>
                </w:rPr>
                <w:t>62</w:t>
              </w:r>
            </w:hyperlink>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10">
              <w:r>
                <w:rPr>
                  <w:rStyle w:val="InternetLink"/>
                  <w:rFonts w:ascii="Times New Roman;serif" w:hAnsi="Times New Roman;serif"/>
                  <w:b w:val="false"/>
                  <w:color w:val="0000FF"/>
                  <w:sz w:val="20"/>
                  <w:u w:val="single"/>
                </w:rPr>
                <w:t>Quantitative and Qualitative Disclosures About Market Risk</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10">
              <w:r>
                <w:rPr>
                  <w:rStyle w:val="InternetLink"/>
                  <w:rFonts w:ascii="Times New Roman;serif" w:hAnsi="Times New Roman;serif"/>
                  <w:b w:val="false"/>
                  <w:color w:val="0000FF"/>
                  <w:sz w:val="20"/>
                  <w:u w:val="single"/>
                </w:rPr>
                <w:t>79</w:t>
              </w:r>
            </w:hyperlink>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16">
              <w:r>
                <w:rPr>
                  <w:rStyle w:val="InternetLink"/>
                  <w:rFonts w:ascii="Times New Roman;serif" w:hAnsi="Times New Roman;serif"/>
                  <w:b w:val="false"/>
                  <w:color w:val="0000FF"/>
                  <w:sz w:val="20"/>
                  <w:u w:val="single"/>
                </w:rPr>
                <w:t>Controls and Procedures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16">
              <w:r>
                <w:rPr>
                  <w:rStyle w:val="InternetLink"/>
                  <w:rFonts w:ascii="Times New Roman;serif" w:hAnsi="Times New Roman;serif"/>
                  <w:b w:val="false"/>
                  <w:color w:val="0000FF"/>
                  <w:sz w:val="20"/>
                  <w:u w:val="single"/>
                </w:rPr>
                <w:t>79</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83" w:type="dxa"/>
            <w:gridSpan w:val="9"/>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43">
              <w:r>
                <w:rPr>
                  <w:rStyle w:val="InternetLink"/>
                  <w:rFonts w:ascii="Times New Roman;serif" w:hAnsi="Times New Roman;serif"/>
                  <w:b/>
                  <w:color w:val="0000FF"/>
                  <w:sz w:val="20"/>
                  <w:u w:val="single"/>
                </w:rPr>
                <w:t>Part II - Other Information</w:t>
              </w:r>
            </w:hyperlink>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46">
              <w:r>
                <w:rPr>
                  <w:rStyle w:val="InternetLink"/>
                  <w:rFonts w:ascii="Times New Roman;serif" w:hAnsi="Times New Roman;serif"/>
                  <w:b w:val="false"/>
                  <w:color w:val="0000FF"/>
                  <w:sz w:val="20"/>
                  <w:u w:val="single"/>
                </w:rPr>
                <w:t>Legal Proceedings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46">
              <w:r>
                <w:rPr>
                  <w:rStyle w:val="InternetLink"/>
                  <w:rFonts w:ascii="Times New Roman;serif" w:hAnsi="Times New Roman;serif"/>
                  <w:b w:val="false"/>
                  <w:color w:val="0000FF"/>
                  <w:sz w:val="20"/>
                  <w:u w:val="single"/>
                </w:rPr>
                <w:t>80</w:t>
              </w:r>
            </w:hyperlink>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49">
              <w:r>
                <w:rPr>
                  <w:rStyle w:val="InternetLink"/>
                  <w:rFonts w:ascii="Times New Roman;serif" w:hAnsi="Times New Roman;serif"/>
                  <w:b w:val="false"/>
                  <w:color w:val="0000FF"/>
                  <w:sz w:val="20"/>
                  <w:u w:val="single"/>
                </w:rPr>
                <w:t>Risk Factors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49">
              <w:r>
                <w:rPr>
                  <w:rStyle w:val="InternetLink"/>
                  <w:rFonts w:ascii="Times New Roman;serif" w:hAnsi="Times New Roman;serif"/>
                  <w:b w:val="false"/>
                  <w:color w:val="0000FF"/>
                  <w:sz w:val="20"/>
                  <w:u w:val="single"/>
                </w:rPr>
                <w:t>80</w:t>
              </w:r>
            </w:hyperlink>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52">
              <w:r>
                <w:rPr>
                  <w:rStyle w:val="InternetLink"/>
                  <w:rFonts w:ascii="Times New Roman;serif" w:hAnsi="Times New Roman;serif"/>
                  <w:b w:val="false"/>
                  <w:color w:val="0000FF"/>
                  <w:sz w:val="20"/>
                  <w:u w:val="single"/>
                </w:rPr>
                <w:t>Unregistered Sales of Equity Securities and Use of Proceeds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52">
              <w:r>
                <w:rPr>
                  <w:rStyle w:val="InternetLink"/>
                  <w:rFonts w:ascii="Times New Roman;serif" w:hAnsi="Times New Roman;serif"/>
                  <w:b w:val="false"/>
                  <w:color w:val="0000FF"/>
                  <w:sz w:val="20"/>
                  <w:u w:val="single"/>
                </w:rPr>
                <w:t>81</w:t>
              </w:r>
            </w:hyperlink>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55">
              <w:r>
                <w:rPr>
                  <w:rStyle w:val="InternetLink"/>
                  <w:rFonts w:ascii="Times New Roman;serif" w:hAnsi="Times New Roman;serif"/>
                  <w:b w:val="false"/>
                  <w:color w:val="0000FF"/>
                  <w:sz w:val="20"/>
                  <w:u w:val="single"/>
                </w:rPr>
                <w:t>Defaults Upon Senior Securities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55">
              <w:r>
                <w:rPr>
                  <w:rStyle w:val="InternetLink"/>
                  <w:rFonts w:ascii="Times New Roman;serif" w:hAnsi="Times New Roman;serif"/>
                  <w:b w:val="false"/>
                  <w:color w:val="0000FF"/>
                  <w:sz w:val="20"/>
                  <w:u w:val="single"/>
                </w:rPr>
                <w:t>81</w:t>
              </w:r>
            </w:hyperlink>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58">
              <w:r>
                <w:rPr>
                  <w:rStyle w:val="InternetLink"/>
                  <w:rFonts w:ascii="Times New Roman;serif" w:hAnsi="Times New Roman;serif"/>
                  <w:b w:val="false"/>
                  <w:color w:val="0000FF"/>
                  <w:sz w:val="20"/>
                  <w:u w:val="single"/>
                </w:rPr>
                <w:t>Mine Safety Disclosures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58">
              <w:r>
                <w:rPr>
                  <w:rStyle w:val="InternetLink"/>
                  <w:rFonts w:ascii="Times New Roman;serif" w:hAnsi="Times New Roman;serif"/>
                  <w:b w:val="false"/>
                  <w:color w:val="0000FF"/>
                  <w:sz w:val="20"/>
                  <w:u w:val="single"/>
                </w:rPr>
                <w:t>81</w:t>
              </w:r>
            </w:hyperlink>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61">
              <w:r>
                <w:rPr>
                  <w:rStyle w:val="InternetLink"/>
                  <w:rFonts w:ascii="Times New Roman;serif" w:hAnsi="Times New Roman;serif"/>
                  <w:b w:val="false"/>
                  <w:color w:val="0000FF"/>
                  <w:sz w:val="20"/>
                  <w:u w:val="single"/>
                </w:rPr>
                <w:t>Other Information</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61">
              <w:r>
                <w:rPr>
                  <w:rStyle w:val="InternetLink"/>
                  <w:rFonts w:ascii="Times New Roman;serif" w:hAnsi="Times New Roman;serif"/>
                  <w:b w:val="false"/>
                  <w:color w:val="0000FF"/>
                  <w:sz w:val="20"/>
                  <w:u w:val="single"/>
                </w:rPr>
                <w:t>81</w:t>
              </w:r>
            </w:hyperlink>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469"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364">
              <w:r>
                <w:rPr>
                  <w:rStyle w:val="InternetLink"/>
                  <w:rFonts w:ascii="Times New Roman;serif" w:hAnsi="Times New Roman;serif"/>
                  <w:b w:val="false"/>
                  <w:color w:val="0000FF"/>
                  <w:sz w:val="20"/>
                  <w:u w:val="single"/>
                </w:rPr>
                <w:t>Exhibits</w:t>
              </w:r>
            </w:hyperlink>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364">
              <w:r>
                <w:rPr>
                  <w:rStyle w:val="InternetLink"/>
                  <w:rFonts w:ascii="Times New Roman;serif" w:hAnsi="Times New Roman;serif"/>
                  <w:b w:val="false"/>
                  <w:color w:val="0000FF"/>
                  <w:sz w:val="20"/>
                  <w:u w:val="single"/>
                </w:rPr>
                <w:t>82</w:t>
              </w:r>
            </w:hyperlink>
          </w:p>
        </w:tc>
      </w:tr>
      <w:tr>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1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08898d38c82b47d6b6210aebbde2f168_421">
              <w:r>
                <w:rPr>
                  <w:rStyle w:val="InternetLink"/>
                  <w:rFonts w:ascii="Times New Roman;serif" w:hAnsi="Times New Roman;serif"/>
                  <w:b w:val="false"/>
                  <w:color w:val="0000FF"/>
                  <w:sz w:val="20"/>
                  <w:u w:val="single"/>
                </w:rPr>
                <w:t>Signatures</w:t>
              </w:r>
            </w:hyperlink>
          </w:p>
        </w:tc>
        <w:tc>
          <w:tcPr>
            <w:tcW w:w="3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0"/>
              <w:jc w:val="center"/>
            </w:pPr>
            <w:hyperlink w:anchor="i08898d38c82b47d6b6210aebbde2f168_421">
              <w:r>
                <w:rPr>
                  <w:rStyle w:val="InternetLink"/>
                  <w:rFonts w:ascii="Times New Roman;serif" w:hAnsi="Times New Roman;serif"/>
                  <w:b w:val="false"/>
                  <w:color w:val="0000FF"/>
                  <w:sz w:val="20"/>
                  <w:u w:val="single"/>
                </w:rPr>
                <w:t>84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CAUTIONARY STATEMENTS REGARDING CERTAIN FORWARD-LOOKING INFORMATION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Statements made in this document that are not based on historical facts are forward-looking statements within the safe harbor provisions of the Private Securities Litigation Reform Act of 1995, may involve risks and uncertainties, and are intended to be as of the date when made. Forward-looking statements include, but are not limited to, statements relating to Evergy's strategic plan, including, without limitation, those related to earnings per share, dividend, operating and maintenance expense and capital investment goals; the outcome of legislative efforts and regulatory and legal proceedings; future energy demand, including demand driven by new and existing customers; future power prices; plans with respect to existing and potential future generation resources; the availability and cost of generation resources and energy storage; target emissions reductions; the status, timing and outcome of customer negotiations and the execution of definitive agreements; and other matters relating to expected financial performance or affecting future operations. Forward-looking statements are often accompanied by forward-looking words such as "anticipates," "believes," "expects," "expectations," "estimates," "forecasts," "future," "guidance," "growth," "should," "could," "may," "seeks," "intends," "predict," "potential," "opportunities," "proposed," "projects," "planned," "target," "budget," "outlook," "remain confident," "goal," "will" or other words of similar meaning.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Forward-looking statements involve a number of risks and uncertainties. There are factors that could cause actual results to differ materially from those expressed or implied in the forward-looking statements, including, but not limited to, the following factors: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economic and weather conditions and any impact on sales, prices and costs;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 xml:space="preserve">significant changes in the demand for electricity, including demand from data centers and other large load customers, and customer adoption of alternative energy sources, such as distributed generation;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changes in business strategy or operations, including with respect to the Evergy Companies' strategy to meet demand requirements of existing and future customers;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uncertainties related to projected rapid growth in electricity demand driven primarily by data centers and other large load customers and the related requirement for new generation and transmission investments, creating capital access, revenue recovery and customer affordability risks;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impact of federal, state and local political, legislative, judicial and regulatory actions or developments, including deregulation, re-regulation, securitization and restructuring of the electric utility industry;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prolonged or recurring U.S. federal government shutdowns;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changes in U.S. trade policies (including tariffs and other trade measures) and responses from other countries;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ability to build or acquire generation, battery storage and transmission facilities to meet the future demand for electricity from customers;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ability to control costs, avoid cost and schedule overruns during the development, construction and operation of generation, battery storage, transmission, distribution or other projects due to challenges, which include, but are not limited to, changes in labor costs, availability and productivity, challenges with the management of contractors or vendors, subcontractor performance, shortages, delays, increased costs or inconsistent quality of equipment, materials and labor and increased financing costs as a result of changes in interest rates or as a result of project delays;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decisions of regulators regarding, among other things, customer rates and the prudency of operational decisions such as capital expenditures and asset retirements;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changes in applicable laws, regulations, rules, principles or practices, or the interpretations thereof, governing tax, accounting and environmental matters, including air and water quality and waste management and disposal;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development, adoption and use of artificial intelligence by the Evergy Companies and its third-party vendors;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impact of climate change, including increased frequency and severity of significant weather events;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risks relating to potential wildfires, including costs of litigation, potential regulatory penalties and damages in excess of insurance liability coverage;</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the sufficiency of the Evergy Companies' insurance coverage, including availability, cost, coverage and terms and ability to recover claims;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extent to which counterparties are willing to do business with, finance the operations of or purchase energy from the Evergy Companies due to the fact that the Evergy Companies operate coal-fired generation;</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prices and availability of electricity and natural gas in wholesale markets;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market perception of the energy industry and the Evergy Companies;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impact of future pandemic health events on, among other things, sales, results of operations, financial position, liquidity and cash flows, and also on operational issues, such as supply chain issues and the availability and ability of the Evergy Companies' employees and suppliers to perform the functions that are necessary to operate the Evergy Companies;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changes in the energy trading markets in which the Evergy Companies participate, including retroactive repricing of transactions by regional transmission organizations (RTO) and independent system operators;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financial market conditions and performance, disruptions in the banking industry, including volatility in interest rates and credit spreads and in availability and cost of capital and the effects on derivatives and hedges and ability to obtain capital to finance large construction projects, nuclear decommissioning trust and pension plan assets and costs;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impairments of long-lived assets or goodwill;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credit ratings;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inflation rates;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effectiveness of risk management policies and procedures and the ability of counterparties to satisfy their contractual commitments including new large data center customers;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impact of physical security incidents, cybersecurity incidents and cyber-attacks, including those enabled or enhanced by artificial intelligence, criminal activity, terrorist attacks, acts of war, and other disruptions to the Evergy Companies facilities or information technology infrastructure or the facilities and infrastructure of third-party service providers on which the Evergy Companies rely;</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impact of geopolitical conflicts on the global energy market, including the ability to contract for non-Russian sourced uranium;</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 xml:space="preserve">ability to carry out marketing and sales plans;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cost, availability, quality and timely provision of equipment, supplies, labor and fuel;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ability to achieve generation goals and the occurrence and duration of planned and unplanned generation outages;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Evergy Companies' ability to manage their generation, transmission and distribution development plans and transmission joint ventures;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inherent risks associated with the ownership and operation of a nuclear facility, including environmental, health, safety, regulatory and financial risks;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workforce risks, including those related to the Evergy Companies' ability to attract and retain qualified personnel, maintain satisfactory relationships with their labor unions and manage costs of, or changes in, wages, retirement, health care and other benefits;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disruption, costs and uncertainties caused by or related to the actions of individuals or entities, such as activist shareholders or special interest groups, that seek to influence Evergy's strategic plan, financial results or operations;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 xml:space="preserve">the impact of changing expectations and demands of the Evergy Companies' customers, regulators, investors and stakeholders, including differing views on environmental, social and governance concerns; </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possibility that strategic initiatives, including mergers, acquisitions, joint ventures and divestitures, and long-term financial plans, may not create the value that they are expected to achieve in a timely manner or at all;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difficulties in maintaining relationships with customers, employees, contractors, regulators or suppliers;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2"/>
        </w:rPr>
        <w:t>the outcome of litigation involving the Evergy Companies;</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and other risks and uncertainties.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This list of factors is not all-inclusive because it is not possible to predict all factors. You should also carefully consider the information contained in the Evergy Companies' other filings with the Securities and Exchange Commission (SEC). Additional risks and uncertainties are discussed from time to time in current, quarterly and annual reports filed by the Evergy Companies with the SEC. New factors emerge from time to time, and it's not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possible for the Evergy Companies to predict all such factors, nor can the Evergy Companies assess the impact of each such factor on the business or the extent to which any factor, or combination of factors, may cause actual results to differ materially from those contained or implied in any forward-looking statement. Given these uncertainties, undue reliance should not be placed on these forward-looking statements. The Evergy Companies undertake no obligation to publicly update or revise any forward-looking statement, whether as a result of new information, future events or otherwise, except as required by law.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AVAILABLE INFORMATION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available through the Evergy Companies' website, http://investors.evergy.com. Such reports are accessible at no charge and are made available as soon as reasonably practical after such material is filed with or furnished to the SEC.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pPr>
      <w:r>
        <w:rPr>
          <w:rFonts w:ascii="Times New Roman;serif" w:hAnsi="Times New Roman;serif"/>
          <w:b/>
          <w:color w:val="000000"/>
          <w:sz w:val="22"/>
        </w:rPr>
        <w:t>GLOSSARY OF TERMS</w:t>
      </w:r>
      <w:r>
        <w:rPr>
          <w:color w:val="000000"/>
        </w:rPr>
        <w:t>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is a glossary of frequently used abbreviations or acronyms that are found throughout this report.</w:t>
      </w:r>
    </w:p>
    <w:tbl>
      <w:tblPr>
        <w:tblW w:w="10205" w:type="dxa"/>
        <w:jc w:val="left"/>
        <w:tblInd w:w="0" w:type="dxa"/>
        <w:tblLayout w:type="fixed"/>
        <w:tblCellMar>
          <w:top w:w="28" w:type="dxa"/>
          <w:left w:w="28" w:type="dxa"/>
          <w:bottom w:w="28" w:type="dxa"/>
          <w:right w:w="28" w:type="dxa"/>
        </w:tblCellMar>
      </w:tblPr>
      <w:tblGrid>
        <w:gridCol w:w="859"/>
        <w:gridCol w:w="748"/>
        <w:gridCol w:w="751"/>
        <w:gridCol w:w="109"/>
        <w:gridCol w:w="109"/>
        <w:gridCol w:w="109"/>
        <w:gridCol w:w="2418"/>
        <w:gridCol w:w="2103"/>
        <w:gridCol w:w="2999"/>
      </w:tblGrid>
      <w:tr>
        <w:tc>
          <w:tcPr>
            <w:tcW w:w="85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Abbreviation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Definition</w:t>
            </w:r>
          </w:p>
        </w:tc>
      </w:tr>
      <w:tr>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2"/>
              </w:rPr>
            </w:pPr>
            <w:r>
              <w:rPr>
                <w:rFonts w:ascii="Times New Roman;serif" w:hAnsi="Times New Roman;serif"/>
                <w:b/>
                <w:color w:val="000000"/>
                <w:sz w:val="22"/>
              </w:rPr>
              <w:t>AEP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American Electric Power Company, Inc.</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2"/>
              </w:rPr>
            </w:pPr>
            <w:r>
              <w:rPr>
                <w:rFonts w:ascii="Times New Roman;serif" w:hAnsi="Times New Roman;serif"/>
                <w:b/>
                <w:color w:val="000000"/>
                <w:sz w:val="22"/>
              </w:rPr>
              <w:t>AFUDC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Allowance for funds used during construction</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Accumulated other comprehensive income</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AROs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Asset retirement obligations</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ATM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At-the-market equity offering program </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BESS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Battery Energy Storage System</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Clean Air Act</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CCGT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Combined cycle gas turbine</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CCN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Certificate of Convenience and Necessity</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CCRs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Coal combustion residuals</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Carbon capture and sequestration</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COLI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Corporate-owned life insurance</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2"/>
              </w:rPr>
              <w:t>CO</w:t>
            </w:r>
            <w:r>
              <w:rPr>
                <w:rFonts w:ascii="Times New Roman;serif" w:hAnsi="Times New Roman;serif"/>
                <w:b/>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Carbon dioxide</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CSAPR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Cross-State Air Pollution Rule</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CWIP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Construction work in progress</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Excess deferred income taxes</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EIRR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Improvement Revenue Refunding</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EGU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Electric generating unit</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Environmental Protection Agency</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Earnings per common share</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ERISA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Employee Retirement Income Security Act of 1974, as amended</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Electric service agreement</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Inc. and its consolidated subsidiaries</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Board</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Inc. Board of Directors</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Evergy Kansas Central, and Evergy Metro, collectively, which are individual registrants within the Evergy consolidated group</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Kansas 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Kansas Central, Inc., a wholly-owned subsidiary of Evergy, Inc., and its consolidated subsidiaries</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Kansas South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Kansas South, Inc., a wholly-owned subsidiary of Evergy Kansas Central</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Metro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Metro, Inc., a wholly-owned subsidiary of Evergy, Inc., and its consolidated subsidiaries</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Missouri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 xml:space="preserve">Evergy Missouri West, Inc., a wholly-owned subsidiary of Evergy, Inc. </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Transmission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Evergy Transmission Company, LLC</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Securities Exchange Act of 1934, as amended</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Facility Evaluation Report</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FERC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Energy Regulatory Commission</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Federal implementation plan</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FMBs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First Mortgage Bonds</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Generally Accepted Accounting Principles</w:t>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GHG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Greenhouse gas</w:t>
            </w:r>
          </w:p>
        </w:tc>
      </w:tr>
      <w:tr>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0" w:type="dxa"/>
            <w:gridSpan w:val="3"/>
            <w:tcBorders/>
            <w:vAlign w:val="center"/>
          </w:tcPr>
          <w:p>
            <w:pPr>
              <w:pStyle w:val="TableContents"/>
              <w:bidi w:val="0"/>
              <w:spacing w:before="0" w:after="283"/>
              <w:jc w:val="left"/>
              <w:rPr>
                <w:sz w:val="4"/>
                <w:szCs w:val="4"/>
              </w:rPr>
            </w:pPr>
            <w:r>
              <w:rPr>
                <w:sz w:val="4"/>
                <w:szCs w:val="4"/>
              </w:rPr>
            </w:r>
          </w:p>
        </w:tc>
      </w:tr>
      <w:tr>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IBEW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International Brotherhood of Electrical Workers </w:t>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71"/>
        <w:gridCol w:w="764"/>
        <w:gridCol w:w="768"/>
        <w:gridCol w:w="109"/>
        <w:gridCol w:w="109"/>
        <w:gridCol w:w="109"/>
        <w:gridCol w:w="2231"/>
        <w:gridCol w:w="2185"/>
        <w:gridCol w:w="3059"/>
      </w:tblGrid>
      <w:tr>
        <w:tc>
          <w:tcPr>
            <w:tcW w:w="87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059" w:type="dxa"/>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u w:val="single"/>
              </w:rPr>
            </w:pPr>
            <w:r>
              <w:rPr>
                <w:rFonts w:ascii="Times New Roman;serif" w:hAnsi="Times New Roman;serif"/>
                <w:b/>
                <w:color w:val="000000"/>
                <w:sz w:val="22"/>
                <w:u w:val="single"/>
              </w:rPr>
              <w:t>Abbreviation or Acronym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u w:val="single"/>
              </w:rPr>
            </w:pPr>
            <w:r>
              <w:rPr>
                <w:rFonts w:ascii="Times New Roman;serif" w:hAnsi="Times New Roman;serif"/>
                <w:b/>
                <w:color w:val="000000"/>
                <w:sz w:val="22"/>
                <w:u w:val="single"/>
              </w:rPr>
              <w:t>Definition</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Inflation Reduction Act</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ITFIP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Interstate Transport Federal Implementation Plans</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ITSIP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Interstate Transport State Implementation Plans</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 xml:space="preserve">JEC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Jeffrey Energy Center</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KCC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 Corporation Commission of the State of Kansas</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KDHE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Kansas Department of Health &amp; Environment</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kV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Kilovolt</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LLPS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Large Load Power Service</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MDNR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Missouri Department of Natural Resources</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MPSC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Public Service Commission of the State of Missouri</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Megawatt</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Megawatt hour</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NAAQS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National Ambient Air Quality Standards</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Net asset value</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2"/>
              </w:rPr>
              <w:t>NO</w:t>
            </w:r>
            <w:r>
              <w:rPr>
                <w:rFonts w:ascii="Times New Roman;serif" w:hAnsi="Times New Roman;serif"/>
                <w:b/>
                <w:color w:val="000000"/>
                <w:sz w:val="14"/>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Nitrogen oxide</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NPNS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Normal purchases and normal sales </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Other comprehensive income</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PISA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Plant-in-service accounting</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Prairie Wind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Prairie Wind Transmission, LLC, 50% owned by Evergy Kansas Central</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Production tax credit</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Restricted share unit</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RTO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Regional transmission organization</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Staff Accounting Bulletin</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SCGT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Simple cycle gas turbine</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SEC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Securities and Exchange Commission</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State implementation plan</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Southwest Power Pool, Inc.</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Transmission congestion rights</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Transmission delivery charge</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Transmission formula rate</w:t>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Transource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2"/>
              </w:rPr>
            </w:pPr>
            <w:r>
              <w:rPr>
                <w:rFonts w:ascii="Times New Roman;serif" w:hAnsi="Times New Roman;serif"/>
                <w:b w:val="false"/>
                <w:color w:val="000000"/>
                <w:sz w:val="22"/>
              </w:rPr>
              <w:t>Transource Energy, LLC and its subsidiaries, 13.5% owned by Evergy Transmission Company</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VIE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Variable interest entity</w:t>
            </w:r>
          </w:p>
        </w:tc>
      </w:tr>
      <w:tr>
        <w:tc>
          <w:tcPr>
            <w:tcW w:w="2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75" w:type="dxa"/>
            <w:gridSpan w:val="3"/>
            <w:tcBorders/>
            <w:vAlign w:val="center"/>
          </w:tcPr>
          <w:p>
            <w:pPr>
              <w:pStyle w:val="TableContents"/>
              <w:bidi w:val="0"/>
              <w:spacing w:before="0" w:after="283"/>
              <w:jc w:val="left"/>
              <w:rPr>
                <w:sz w:val="4"/>
                <w:szCs w:val="4"/>
              </w:rPr>
            </w:pPr>
            <w:r>
              <w:rPr>
                <w:sz w:val="4"/>
                <w:szCs w:val="4"/>
              </w:rPr>
            </w:r>
          </w:p>
        </w:tc>
      </w:tr>
      <w:tr>
        <w:tc>
          <w:tcPr>
            <w:tcW w:w="2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Wolf Creek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Wolf Creek Generating Station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384"/>
        <w:gridCol w:w="1969"/>
        <w:gridCol w:w="1984"/>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5"/>
      </w:tblGrid>
      <w:tr>
        <w:tc>
          <w:tcPr>
            <w:tcW w:w="2384"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c>
          <w:tcPr>
            <w:tcW w:w="6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86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for credit losses of $12.5 and $15.3,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549.9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Fuel inventory and supplies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854.9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Income taxes receivable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Regulatory assets, includes $17.3 and $16.7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2,265.4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includes $114.0 and $119.4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28,121.2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Regulatory assets, includes $264.8 and $277.9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1,996.4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Nuclear decommissioning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1,084.9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2,336.6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5,929.9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36,316.5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33,948.5 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pPr>
      <w:r>
        <w:rPr>
          <w:rFonts w:ascii="Times New Roman;serif" w:hAnsi="Times New Roman;serif"/>
          <w:b w:val="false"/>
          <w:color w:val="000000"/>
          <w:sz w:val="18"/>
        </w:rPr>
        <w:t>The accompanying Notes to Unaudited Consolidated Financial Statements are an integral part of these statements.</w:t>
      </w:r>
      <w:r>
        <w:rPr>
          <w:color w:val="000000"/>
        </w:rPr>
        <w:t xml:space="preserv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296"/>
        <w:gridCol w:w="2015"/>
        <w:gridCol w:w="2025"/>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6"/>
      </w:tblGrid>
      <w:tr>
        <w:tc>
          <w:tcPr>
            <w:tcW w:w="229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6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c>
          <w:tcPr>
            <w:tcW w:w="6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c>
          <w:tcPr>
            <w:tcW w:w="63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869"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c>
          <w:tcPr>
            <w:tcW w:w="6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 includes $17.5 and $17.0 related to variable interest entity,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1,495.3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780.9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395.0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708.5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388.3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interest, includes $5.0 and $1.3 related to variable interest entity,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193.5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 for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4,615.5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net, includes $270.8 and $279.2 related to variable interest entity, respectively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13,551.3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2,044.9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investment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2,920.5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245.2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1,344.4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378.5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20,636.9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- 600,000,000 shares authorized, without par value </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234,482,240 and 230,262,674 shares issued, stated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7,556.3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3,462.0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Evergy,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11,008.4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11,064.1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36,316.5</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33,948.5 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930"/>
        <w:gridCol w:w="1343"/>
        <w:gridCol w:w="1346"/>
        <w:gridCol w:w="109"/>
        <w:gridCol w:w="109"/>
        <w:gridCol w:w="109"/>
        <w:gridCol w:w="196"/>
        <w:gridCol w:w="706"/>
        <w:gridCol w:w="109"/>
        <w:gridCol w:w="109"/>
        <w:gridCol w:w="109"/>
        <w:gridCol w:w="109"/>
        <w:gridCol w:w="196"/>
        <w:gridCol w:w="691"/>
        <w:gridCol w:w="109"/>
        <w:gridCol w:w="109"/>
        <w:gridCol w:w="109"/>
        <w:gridCol w:w="109"/>
        <w:gridCol w:w="196"/>
        <w:gridCol w:w="706"/>
        <w:gridCol w:w="109"/>
        <w:gridCol w:w="109"/>
        <w:gridCol w:w="109"/>
        <w:gridCol w:w="109"/>
        <w:gridCol w:w="196"/>
        <w:gridCol w:w="691"/>
        <w:gridCol w:w="109"/>
        <w:gridCol w:w="109"/>
        <w:gridCol w:w="155"/>
      </w:tblGrid>
      <w:tr>
        <w:tc>
          <w:tcPr>
            <w:tcW w:w="193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99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c>
          <w:tcPr>
            <w:tcW w:w="264" w:type="dxa"/>
            <w:gridSpan w:val="2"/>
            <w:tcBorders/>
          </w:tcPr>
          <w:p>
            <w:pPr>
              <w:pStyle w:val="TableContents"/>
              <w:bidi w:val="0"/>
              <w:spacing w:before="0" w:after="283"/>
              <w:jc w:val="left"/>
              <w:rPr>
                <w:sz w:val="4"/>
                <w:szCs w:val="4"/>
              </w:rPr>
            </w:pPr>
            <w:r>
              <w:rPr>
                <w:sz w:val="4"/>
                <w:szCs w:val="4"/>
              </w:rPr>
            </w:r>
          </w:p>
        </w:tc>
      </w:tr>
      <w:tr>
        <w:tc>
          <w:tcPr>
            <w:tcW w:w="99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w:t>
            </w:r>
          </w:p>
        </w:tc>
        <w:tc>
          <w:tcPr>
            <w:tcW w:w="264" w:type="dxa"/>
            <w:gridSpan w:val="2"/>
            <w:tcBorders/>
          </w:tcPr>
          <w:p>
            <w:pPr>
              <w:pStyle w:val="TableContents"/>
              <w:bidi w:val="0"/>
              <w:spacing w:before="0" w:after="283"/>
              <w:jc w:val="left"/>
              <w:rPr>
                <w:sz w:val="4"/>
                <w:szCs w:val="4"/>
              </w:rPr>
            </w:pPr>
            <w:r>
              <w:rPr>
                <w:sz w:val="4"/>
                <w:szCs w:val="4"/>
              </w:rPr>
            </w:r>
          </w:p>
        </w:tc>
      </w:tr>
      <w:tr>
        <w:tc>
          <w:tcPr>
            <w:tcW w:w="994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4" w:type="dxa"/>
            <w:gridSpan w:val="2"/>
            <w:tcBorders/>
          </w:tcPr>
          <w:p>
            <w:pPr>
              <w:pStyle w:val="TableContents"/>
              <w:bidi w:val="0"/>
              <w:spacing w:before="0" w:after="283"/>
              <w:jc w:val="left"/>
              <w:rPr>
                <w:sz w:val="4"/>
                <w:szCs w:val="4"/>
              </w:rPr>
            </w:pPr>
            <w:r>
              <w:rPr>
                <w:sz w:val="4"/>
                <w:szCs w:val="4"/>
              </w:rPr>
            </w:r>
          </w:p>
        </w:tc>
      </w:tr>
      <w:t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per share amounts)</w:t>
            </w:r>
          </w:p>
        </w:tc>
        <w:tc>
          <w:tcPr>
            <w:tcW w:w="264" w:type="dxa"/>
            <w:gridSpan w:val="2"/>
            <w:tcBorders/>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2,096.6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5,040.4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and purchased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472.8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1,161.3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SPP network transmission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352.3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279.5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783.6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1,288.1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3,532.9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808.5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1,507.5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earnings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508.4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660.0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1,048.6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equity method investees,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615.9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988.6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EVERGY,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612.9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979.4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BASIC AND DILUTED EARNINGS PER AVERAGE COMMON SHARE OUTSTANDING ATTRIBUTABLE TO EVERGY, INC. (see Note 1)</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231.0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230.9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236.8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236.3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615.9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988.6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derivative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derivative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to expenses,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net gains included in net periodic benefit costs,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unrecognized pension expense,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620.8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996.7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ATTRIBUTABLE TO EVERGY, INC.</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617.8</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987.5</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9669" w:type="dxa"/>
        <w:jc w:val="left"/>
        <w:tblInd w:w="0" w:type="dxa"/>
        <w:tblLayout w:type="fixed"/>
        <w:tblCellMar>
          <w:top w:w="28" w:type="dxa"/>
          <w:left w:w="28" w:type="dxa"/>
          <w:bottom w:w="28" w:type="dxa"/>
          <w:right w:w="28" w:type="dxa"/>
        </w:tblCellMar>
      </w:tblPr>
      <w:tblGrid>
        <w:gridCol w:w="2376"/>
        <w:gridCol w:w="2091"/>
        <w:gridCol w:w="2103"/>
        <w:gridCol w:w="259"/>
        <w:gridCol w:w="754"/>
        <w:gridCol w:w="144"/>
        <w:gridCol w:w="144"/>
        <w:gridCol w:w="144"/>
        <w:gridCol w:w="144"/>
        <w:gridCol w:w="259"/>
        <w:gridCol w:w="735"/>
        <w:gridCol w:w="144"/>
        <w:gridCol w:w="109"/>
        <w:gridCol w:w="109"/>
        <w:gridCol w:w="154"/>
      </w:tblGrid>
      <w:tr>
        <w:tc>
          <w:tcPr>
            <w:tcW w:w="2376"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2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92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929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6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to Date September 30</w:t>
            </w:r>
          </w:p>
        </w:tc>
        <w:tc>
          <w:tcPr>
            <w:tcW w:w="115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OPERATING ACTIVITIES:</w:t>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988.6</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to net cash from operating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912.1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nuclear fuel</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50.8</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refueling outage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20.9</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19.2</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income taxes and credits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65.2</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asset retirement obligations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equity method investees, net of income taxes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from investments in early-stage clean energy and energy solution companies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Losses on induced conversion of convertible notes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10.3</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working capital items: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(294.9)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214.0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1,699.2</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INVESTING ACTIVITIES:</w:t>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(2,714.6)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(1,932.4)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securities - trusts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securities - trusts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71.6</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nonrefundable contributions in aid of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175.0</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investment in corporate-owned life insurance </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56.5</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investing activities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3.4</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(2,484.9)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(1,902.0)</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FINANCING ACTIVITIES: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(620.2)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facility</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555.0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term loan facility</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(555.0)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short-term borrowings, net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322.2</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2,308.1</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Retirements of long-term debt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(747.4)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against cash surrender value of corporate-owned life insurance</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48.3</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borrowings against cash surrender value of corporate-owned life insurance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refundable advances for construction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27.5</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(473.1)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792.1</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6.4</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27.0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7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33.4</w:t>
            </w:r>
            <w:r>
              <w:rPr>
                <w:color w:val="000000"/>
              </w:rPr>
              <w:t>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127"/>
        <w:gridCol w:w="877"/>
        <w:gridCol w:w="879"/>
        <w:gridCol w:w="604"/>
        <w:gridCol w:w="506"/>
        <w:gridCol w:w="400"/>
        <w:gridCol w:w="216"/>
        <w:gridCol w:w="764"/>
        <w:gridCol w:w="120"/>
        <w:gridCol w:w="233"/>
        <w:gridCol w:w="823"/>
        <w:gridCol w:w="129"/>
        <w:gridCol w:w="196"/>
        <w:gridCol w:w="503"/>
        <w:gridCol w:w="109"/>
        <w:gridCol w:w="400"/>
        <w:gridCol w:w="955"/>
        <w:gridCol w:w="225"/>
        <w:gridCol w:w="196"/>
        <w:gridCol w:w="781"/>
        <w:gridCol w:w="162"/>
      </w:tblGrid>
      <w:tr>
        <w:tc>
          <w:tcPr>
            <w:tcW w:w="112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r>
      <w:t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tc>
      </w:tr>
      <w:t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 Shareholders</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shares</w:t>
            </w:r>
          </w:p>
        </w:tc>
        <w:tc>
          <w:tcPr>
            <w:tcW w:w="1100"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1185"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808"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AOCI</w:t>
            </w:r>
          </w:p>
        </w:tc>
        <w:tc>
          <w:tcPr>
            <w:tcW w:w="158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113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c>
          <w:tcPr>
            <w:tcW w:w="288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share amounts)</w:t>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229,983,615 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7,245.9 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101,120 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($0.6675 per share)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230,084,735 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9,967.9 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44,622 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($0.6675 per share)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unrecognized pension expense, net of tax</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230,151,269 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($0.6675 per share)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111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230,199,858 </w:t>
            </w:r>
          </w:p>
        </w:tc>
        <w:tc>
          <w:tcPr>
            <w:tcW w:w="4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7,266.5 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3,042.5 </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10,332.5 </w:t>
            </w:r>
          </w:p>
        </w:tc>
        <w:tc>
          <w:tcPr>
            <w:tcW w:w="1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128"/>
        <w:gridCol w:w="876"/>
        <w:gridCol w:w="879"/>
        <w:gridCol w:w="604"/>
        <w:gridCol w:w="506"/>
        <w:gridCol w:w="400"/>
        <w:gridCol w:w="216"/>
        <w:gridCol w:w="764"/>
        <w:gridCol w:w="120"/>
        <w:gridCol w:w="233"/>
        <w:gridCol w:w="823"/>
        <w:gridCol w:w="129"/>
        <w:gridCol w:w="196"/>
        <w:gridCol w:w="503"/>
        <w:gridCol w:w="109"/>
        <w:gridCol w:w="400"/>
        <w:gridCol w:w="955"/>
        <w:gridCol w:w="225"/>
        <w:gridCol w:w="196"/>
        <w:gridCol w:w="781"/>
        <w:gridCol w:w="162"/>
      </w:tblGrid>
      <w:tr>
        <w:tc>
          <w:tcPr>
            <w:tcW w:w="112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w:t>
            </w:r>
          </w:p>
        </w:tc>
      </w:tr>
      <w:t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tc>
      </w:tr>
      <w:t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Inc. Shareholders</w:t>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shares</w:t>
            </w:r>
          </w:p>
        </w:tc>
        <w:tc>
          <w:tcPr>
            <w:tcW w:w="1100"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1185"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808"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AOCI</w:t>
            </w:r>
          </w:p>
        </w:tc>
        <w:tc>
          <w:tcPr>
            <w:tcW w:w="1580"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113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c>
          <w:tcPr>
            <w:tcW w:w="288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2"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share amounts)</w:t>
            </w:r>
          </w:p>
        </w:tc>
      </w:tr>
      <w:tr>
        <w:tc>
          <w:tcPr>
            <w:tcW w:w="2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230,262,674 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Issuance of common stock, net of issuance costs </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36,922 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210,542 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($0.6950 per share)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obligation of convertible notes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1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230,510,138 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7,217.2 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2,956.0 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10,206.2 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33,995 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17,105 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($0.6950 per share)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1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230,561,238 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7,227.7 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3,010.1 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10,275.7 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issuance costs</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3,912,745 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stock compensation and reinvested dividends, net of tax withholding</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8,257 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 ($0.6950 per share)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equivalents declared</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unrecognized pension expense, net of tax</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8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2026</w:t>
            </w:r>
          </w:p>
        </w:tc>
        <w:tc>
          <w:tcPr>
            <w:tcW w:w="111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234,482,240 </w:t>
            </w:r>
          </w:p>
        </w:tc>
        <w:tc>
          <w:tcPr>
            <w:tcW w:w="4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7,556.3 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3,462.0 </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2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11,064.1 </w:t>
            </w:r>
          </w:p>
        </w:tc>
        <w:tc>
          <w:tcPr>
            <w:tcW w:w="1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385"/>
        <w:gridCol w:w="1968"/>
        <w:gridCol w:w="1984"/>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5"/>
      </w:tblGrid>
      <w:tr>
        <w:tc>
          <w:tcPr>
            <w:tcW w:w="2385"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c>
          <w:tcPr>
            <w:tcW w:w="6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86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for credit losses of $5.8 and $7.3,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436.2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 includes $114.0 and $119.4 related to variable interest entity,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14,144.4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535.8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Nuclear decommissioning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484.3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304.5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1,324.6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16,665.6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Kansas Central included in the accompanying Notes to Unaudited Consolidated Financial Statements are an integral part of these statements.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9177" w:type="dxa"/>
        <w:jc w:val="center"/>
        <w:tblInd w:w="0" w:type="dxa"/>
        <w:tblLayout w:type="fixed"/>
        <w:tblCellMar>
          <w:top w:w="28" w:type="dxa"/>
          <w:left w:w="28" w:type="dxa"/>
          <w:bottom w:w="28" w:type="dxa"/>
          <w:right w:w="28" w:type="dxa"/>
        </w:tblCellMar>
      </w:tblPr>
      <w:tblGrid>
        <w:gridCol w:w="1925"/>
        <w:gridCol w:w="1688"/>
        <w:gridCol w:w="1697"/>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4"/>
      </w:tblGrid>
      <w:tr>
        <w:tc>
          <w:tcPr>
            <w:tcW w:w="1925"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r>
      <w:tr>
        <w:tc>
          <w:tcPr>
            <w:tcW w:w="91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c>
          <w:tcPr>
            <w:tcW w:w="9177"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c>
          <w:tcPr>
            <w:tcW w:w="531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86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note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payables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 for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1,767.3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5,258.1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781.7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investment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1,590.7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141.5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677.2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8,682.7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Evergy Kansas Central, Inc.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- 1,000 shares authorized, $0.01 par value, 1 share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2,737.6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3,422.3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Evergy Kansas Central, Inc.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6,159.9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6,215.6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1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16,665.6</w:t>
            </w: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15,773.6 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Kansas Central included in the accompanying Notes to Unaudited Consolidated Financial Statements are an integral part of these statements.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771"/>
        <w:gridCol w:w="1489"/>
        <w:gridCol w:w="1493"/>
        <w:gridCol w:w="109"/>
        <w:gridCol w:w="109"/>
        <w:gridCol w:w="109"/>
        <w:gridCol w:w="196"/>
        <w:gridCol w:w="706"/>
        <w:gridCol w:w="109"/>
        <w:gridCol w:w="109"/>
        <w:gridCol w:w="109"/>
        <w:gridCol w:w="109"/>
        <w:gridCol w:w="196"/>
        <w:gridCol w:w="556"/>
        <w:gridCol w:w="109"/>
        <w:gridCol w:w="109"/>
        <w:gridCol w:w="109"/>
        <w:gridCol w:w="109"/>
        <w:gridCol w:w="196"/>
        <w:gridCol w:w="706"/>
        <w:gridCol w:w="109"/>
        <w:gridCol w:w="109"/>
        <w:gridCol w:w="109"/>
        <w:gridCol w:w="109"/>
        <w:gridCol w:w="196"/>
        <w:gridCol w:w="691"/>
        <w:gridCol w:w="109"/>
        <w:gridCol w:w="109"/>
        <w:gridCol w:w="156"/>
      </w:tblGrid>
      <w:tr>
        <w:tc>
          <w:tcPr>
            <w:tcW w:w="177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99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c>
          <w:tcPr>
            <w:tcW w:w="265" w:type="dxa"/>
            <w:gridSpan w:val="2"/>
            <w:tcBorders/>
          </w:tcPr>
          <w:p>
            <w:pPr>
              <w:pStyle w:val="TableContents"/>
              <w:bidi w:val="0"/>
              <w:spacing w:before="0" w:after="283"/>
              <w:jc w:val="left"/>
              <w:rPr>
                <w:sz w:val="4"/>
                <w:szCs w:val="4"/>
              </w:rPr>
            </w:pPr>
            <w:r>
              <w:rPr>
                <w:sz w:val="4"/>
                <w:szCs w:val="4"/>
              </w:rPr>
            </w:r>
          </w:p>
        </w:tc>
      </w:tr>
      <w:tr>
        <w:tc>
          <w:tcPr>
            <w:tcW w:w="99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Income</w:t>
            </w:r>
          </w:p>
        </w:tc>
        <w:tc>
          <w:tcPr>
            <w:tcW w:w="265" w:type="dxa"/>
            <w:gridSpan w:val="2"/>
            <w:tcBorders/>
          </w:tcPr>
          <w:p>
            <w:pPr>
              <w:pStyle w:val="TableContents"/>
              <w:bidi w:val="0"/>
              <w:spacing w:before="0" w:after="283"/>
              <w:jc w:val="left"/>
              <w:rPr>
                <w:sz w:val="4"/>
                <w:szCs w:val="4"/>
              </w:rPr>
            </w:pPr>
            <w:r>
              <w:rPr>
                <w:sz w:val="4"/>
                <w:szCs w:val="4"/>
              </w:rPr>
            </w:r>
          </w:p>
        </w:tc>
      </w:tr>
      <w:tr>
        <w:tc>
          <w:tcPr>
            <w:tcW w:w="994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5" w:type="dxa"/>
            <w:gridSpan w:val="2"/>
            <w:tcBorders/>
          </w:tcPr>
          <w:p>
            <w:pPr>
              <w:pStyle w:val="TableContents"/>
              <w:bidi w:val="0"/>
              <w:spacing w:before="0" w:after="283"/>
              <w:jc w:val="left"/>
              <w:rPr>
                <w:sz w:val="4"/>
                <w:szCs w:val="4"/>
              </w:rPr>
            </w:pPr>
            <w:r>
              <w:rPr>
                <w:sz w:val="4"/>
                <w:szCs w:val="4"/>
              </w:rPr>
            </w:r>
          </w:p>
        </w:tc>
      </w:tr>
      <w:t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265" w:type="dxa"/>
            <w:gridSpan w:val="2"/>
            <w:tcBorders/>
          </w:tcPr>
          <w:p>
            <w:pPr>
              <w:pStyle w:val="TableContents"/>
              <w:bidi w:val="0"/>
              <w:spacing w:before="0" w:after="283"/>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1,052.5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2,595.1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and purchased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193.1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425.8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SPP network transmission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352.3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383.3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460.2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175.4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662.2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1,797.0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390.3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798.1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193.9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342.5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640.9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equity method investees,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612.4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7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90"/>
              <w:jc w:val="left"/>
              <w:rPr>
                <w:sz w:val="4"/>
                <w:szCs w:val="4"/>
              </w:rPr>
            </w:pPr>
            <w:r>
              <w:rPr>
                <w:sz w:val="4"/>
                <w:szCs w:val="4"/>
              </w:rPr>
            </w:r>
          </w:p>
        </w:tc>
      </w:tr>
      <w:tr>
        <w:tc>
          <w:tcPr>
            <w:tcW w:w="4753"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EVERGY KANSAS CENTRAL, INC.</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321.2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603.2</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Kansas Central included in the accompanying Notes to Unaudited Consolidated Financial Statements are an integral part of these statements.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9437" w:type="dxa"/>
        <w:jc w:val="center"/>
        <w:tblInd w:w="0" w:type="dxa"/>
        <w:tblLayout w:type="fixed"/>
        <w:tblCellMar>
          <w:top w:w="28" w:type="dxa"/>
          <w:left w:w="28" w:type="dxa"/>
          <w:bottom w:w="28" w:type="dxa"/>
          <w:right w:w="28" w:type="dxa"/>
        </w:tblCellMar>
      </w:tblPr>
      <w:tblGrid>
        <w:gridCol w:w="2332"/>
        <w:gridCol w:w="2053"/>
        <w:gridCol w:w="2065"/>
        <w:gridCol w:w="259"/>
        <w:gridCol w:w="755"/>
        <w:gridCol w:w="143"/>
        <w:gridCol w:w="143"/>
        <w:gridCol w:w="143"/>
        <w:gridCol w:w="143"/>
        <w:gridCol w:w="259"/>
        <w:gridCol w:w="736"/>
        <w:gridCol w:w="143"/>
        <w:gridCol w:w="109"/>
        <w:gridCol w:w="154"/>
      </w:tblGrid>
      <w:tr>
        <w:tc>
          <w:tcPr>
            <w:tcW w:w="2332"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1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c>
          <w:tcPr>
            <w:tcW w:w="263" w:type="dxa"/>
            <w:gridSpan w:val="2"/>
            <w:tcBorders/>
          </w:tcPr>
          <w:p>
            <w:pPr>
              <w:pStyle w:val="TableContents"/>
              <w:bidi w:val="0"/>
              <w:spacing w:before="0" w:after="283"/>
              <w:jc w:val="left"/>
              <w:rPr>
                <w:sz w:val="4"/>
                <w:szCs w:val="4"/>
              </w:rPr>
            </w:pPr>
            <w:r>
              <w:rPr>
                <w:sz w:val="4"/>
                <w:szCs w:val="4"/>
              </w:rPr>
            </w:r>
          </w:p>
        </w:tc>
      </w:tr>
      <w:tr>
        <w:tc>
          <w:tcPr>
            <w:tcW w:w="91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c>
        <w:tc>
          <w:tcPr>
            <w:tcW w:w="263" w:type="dxa"/>
            <w:gridSpan w:val="2"/>
            <w:tcBorders/>
          </w:tcPr>
          <w:p>
            <w:pPr>
              <w:pStyle w:val="TableContents"/>
              <w:bidi w:val="0"/>
              <w:spacing w:before="0" w:after="283"/>
              <w:jc w:val="left"/>
              <w:rPr>
                <w:sz w:val="4"/>
                <w:szCs w:val="4"/>
              </w:rPr>
            </w:pPr>
            <w:r>
              <w:rPr>
                <w:sz w:val="4"/>
                <w:szCs w:val="4"/>
              </w:rPr>
            </w:r>
          </w:p>
        </w:tc>
      </w:tr>
      <w:tr>
        <w:tc>
          <w:tcPr>
            <w:tcW w:w="917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3" w:type="dxa"/>
            <w:gridSpan w:val="2"/>
            <w:tcBorders/>
          </w:tcPr>
          <w:p>
            <w:pPr>
              <w:pStyle w:val="TableContents"/>
              <w:bidi w:val="0"/>
              <w:spacing w:before="0" w:after="283"/>
              <w:jc w:val="left"/>
              <w:rPr>
                <w:sz w:val="4"/>
                <w:szCs w:val="4"/>
              </w:rPr>
            </w:pPr>
            <w:r>
              <w:rPr>
                <w:sz w:val="4"/>
                <w:szCs w:val="4"/>
              </w:rPr>
            </w:r>
          </w:p>
        </w:tc>
      </w:tr>
      <w:tr>
        <w:tc>
          <w:tcPr>
            <w:tcW w:w="917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6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to Date September 30</w:t>
            </w:r>
          </w:p>
        </w:tc>
        <w:tc>
          <w:tcPr>
            <w:tcW w:w="115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29"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OPERATING ACTIVITIES:</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612.4</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to net cash from operating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460.2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nuclear fuel</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25.4</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refueling outage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9.3</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corporate-owned life insurance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20.9</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income taxes and credits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49.4</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asset retirement obligations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of equity method investees, net of income taxes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corporate-owned life insurance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working capital items: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(147.8)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2.0</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5.7</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28.7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31.6</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950.0</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INVESTING ACTIVITIES: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(1,042.5)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securities - trusts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securities - trusts</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nonrefundable contributions in aid of construction</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48.1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corporate-owned life insurance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Proceeds from investment in corporate-owned life insurance </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55.1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money pool lending </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investing activities </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(953.0)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(945.1)</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FINANCING ACTIVITIES: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(87.4)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short-term debt, net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694.0</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Retirements of long-term debt</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against cash surrender value of corporate-owned life insurance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46.2</w:t>
            </w: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borrowings against cash surrender value of corporate-owned life insurance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(235.0)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2.9</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5.3</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4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5.2</w:t>
            </w:r>
            <w:r>
              <w:rPr>
                <w:color w:val="000000"/>
              </w:rPr>
              <w:t> </w:t>
            </w:r>
          </w:p>
        </w:tc>
        <w:tc>
          <w:tcPr>
            <w:tcW w:w="1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4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Kansas Central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55"/>
        <w:gridCol w:w="835"/>
        <w:gridCol w:w="838"/>
        <w:gridCol w:w="575"/>
        <w:gridCol w:w="575"/>
        <w:gridCol w:w="577"/>
        <w:gridCol w:w="269"/>
        <w:gridCol w:w="949"/>
        <w:gridCol w:w="149"/>
        <w:gridCol w:w="286"/>
        <w:gridCol w:w="1011"/>
        <w:gridCol w:w="158"/>
        <w:gridCol w:w="493"/>
        <w:gridCol w:w="1177"/>
        <w:gridCol w:w="277"/>
        <w:gridCol w:w="202"/>
        <w:gridCol w:w="714"/>
        <w:gridCol w:w="165"/>
      </w:tblGrid>
      <w:tr>
        <w:tc>
          <w:tcPr>
            <w:tcW w:w="95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w:t>
            </w:r>
          </w:p>
        </w:tc>
      </w:tr>
      <w:t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tc>
      </w:tr>
      <w:t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Kansas Central, Inc. Shareholder</w:t>
            </w:r>
          </w:p>
        </w:tc>
        <w:tc>
          <w:tcPr>
            <w:tcW w:w="1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shares</w:t>
            </w:r>
          </w:p>
        </w:tc>
        <w:tc>
          <w:tcPr>
            <w:tcW w:w="1367"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1455" w:type="dxa"/>
            <w:gridSpan w:val="3"/>
            <w:tcBorders>
              <w:top w:val="single" w:sz="16"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194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108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equity</w:t>
            </w:r>
          </w:p>
        </w:tc>
      </w:tr>
      <w:tr>
        <w:tc>
          <w:tcPr>
            <w:tcW w:w="26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7"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c>
          <w:tcPr>
            <w:tcW w:w="2628"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2,731.3 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5,509.3 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vAlign w:val="center"/>
          </w:tcPr>
          <w:p>
            <w:pPr>
              <w:pStyle w:val="TableContents"/>
              <w:bidi w:val="0"/>
              <w:spacing w:before="0" w:after="283"/>
              <w:jc w:val="left"/>
              <w:rPr>
                <w:sz w:val="4"/>
                <w:szCs w:val="4"/>
              </w:rPr>
            </w:pPr>
            <w:r>
              <w:rPr>
                <w:sz w:val="4"/>
                <w:szCs w:val="4"/>
              </w:rPr>
            </w:r>
          </w:p>
        </w:tc>
        <w:tc>
          <w:tcPr>
            <w:tcW w:w="1727"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94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2,947.2 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5,728.2 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150"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3,054.1 </w:t>
            </w:r>
          </w:p>
        </w:tc>
        <w:tc>
          <w:tcPr>
            <w:tcW w:w="15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27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5,838.2 </w:t>
            </w:r>
          </w:p>
        </w:tc>
        <w:tc>
          <w:tcPr>
            <w:tcW w:w="16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3,163.0 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5,950.2 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1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28"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2026</w:t>
            </w:r>
          </w:p>
        </w:tc>
        <w:tc>
          <w:tcPr>
            <w:tcW w:w="115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2,737.6 </w:t>
            </w:r>
          </w:p>
        </w:tc>
        <w:tc>
          <w:tcPr>
            <w:tcW w:w="1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3,422.3 </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27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6,215.6 </w:t>
            </w:r>
          </w:p>
        </w:tc>
        <w:tc>
          <w:tcPr>
            <w:tcW w:w="1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The disclosures regarding Evergy Kansas Central included in the accompanying Unaudited Notes to Consolidated Financial Statements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9386" w:type="dxa"/>
        <w:jc w:val="center"/>
        <w:tblInd w:w="0" w:type="dxa"/>
        <w:tblLayout w:type="fixed"/>
        <w:tblCellMar>
          <w:top w:w="28" w:type="dxa"/>
          <w:left w:w="28" w:type="dxa"/>
          <w:bottom w:w="28" w:type="dxa"/>
          <w:right w:w="28" w:type="dxa"/>
        </w:tblCellMar>
      </w:tblPr>
      <w:tblGrid>
        <w:gridCol w:w="1999"/>
        <w:gridCol w:w="1753"/>
        <w:gridCol w:w="1767"/>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4"/>
      </w:tblGrid>
      <w:tr>
        <w:tc>
          <w:tcPr>
            <w:tcW w:w="1999"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3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METRO, INC.</w:t>
            </w:r>
          </w:p>
        </w:tc>
      </w:tr>
      <w:tr>
        <w:tc>
          <w:tcPr>
            <w:tcW w:w="93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c>
          <w:tcPr>
            <w:tcW w:w="9386"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c>
          <w:tcPr>
            <w:tcW w:w="5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86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net of allowance for credit losses of $4.7 and $5.7,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149.8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pledged as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297.5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776.9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8,748.5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664.5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Nuclear decommissioning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1,347.3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1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10,872.7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10,318.8 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297"/>
        <w:gridCol w:w="2015"/>
        <w:gridCol w:w="2025"/>
        <w:gridCol w:w="109"/>
        <w:gridCol w:w="109"/>
        <w:gridCol w:w="109"/>
        <w:gridCol w:w="196"/>
        <w:gridCol w:w="796"/>
        <w:gridCol w:w="109"/>
        <w:gridCol w:w="109"/>
        <w:gridCol w:w="109"/>
        <w:gridCol w:w="109"/>
        <w:gridCol w:w="109"/>
        <w:gridCol w:w="109"/>
        <w:gridCol w:w="109"/>
        <w:gridCol w:w="109"/>
        <w:gridCol w:w="109"/>
        <w:gridCol w:w="109"/>
        <w:gridCol w:w="196"/>
        <w:gridCol w:w="781"/>
        <w:gridCol w:w="109"/>
        <w:gridCol w:w="109"/>
        <w:gridCol w:w="109"/>
        <w:gridCol w:w="155"/>
      </w:tblGrid>
      <w:tr>
        <w:tc>
          <w:tcPr>
            <w:tcW w:w="2297"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METRO, INC.</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w:t>
            </w:r>
          </w:p>
        </w:tc>
      </w:tr>
      <w:tr>
        <w:tc>
          <w:tcPr>
            <w:tcW w:w="6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9"/>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c>
          <w:tcPr>
            <w:tcW w:w="633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868"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 except share amounts)</w:t>
            </w:r>
          </w:p>
        </w:tc>
      </w:tr>
      <w:tr>
        <w:tc>
          <w:tcPr>
            <w:tcW w:w="6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301.0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130.0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246.7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advances for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1,100.2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3,272.5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720.8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investment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Regulatory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1,219.2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522.6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6,021.6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- 1,000 shares authorized, without par value, 1 share issued, stated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1,563.1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2,185.0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3,750.9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337"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10,872.7</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10,318.8 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8420" w:type="dxa"/>
        <w:jc w:val="center"/>
        <w:tblInd w:w="0" w:type="dxa"/>
        <w:tblLayout w:type="fixed"/>
        <w:tblCellMar>
          <w:top w:w="28" w:type="dxa"/>
          <w:left w:w="28" w:type="dxa"/>
          <w:bottom w:w="28" w:type="dxa"/>
          <w:right w:w="28" w:type="dxa"/>
        </w:tblCellMar>
      </w:tblPr>
      <w:tblGrid>
        <w:gridCol w:w="1125"/>
        <w:gridCol w:w="988"/>
        <w:gridCol w:w="992"/>
        <w:gridCol w:w="109"/>
        <w:gridCol w:w="109"/>
        <w:gridCol w:w="109"/>
        <w:gridCol w:w="196"/>
        <w:gridCol w:w="571"/>
        <w:gridCol w:w="109"/>
        <w:gridCol w:w="109"/>
        <w:gridCol w:w="109"/>
        <w:gridCol w:w="109"/>
        <w:gridCol w:w="196"/>
        <w:gridCol w:w="556"/>
        <w:gridCol w:w="109"/>
        <w:gridCol w:w="109"/>
        <w:gridCol w:w="109"/>
        <w:gridCol w:w="109"/>
        <w:gridCol w:w="196"/>
        <w:gridCol w:w="706"/>
        <w:gridCol w:w="109"/>
        <w:gridCol w:w="109"/>
        <w:gridCol w:w="109"/>
        <w:gridCol w:w="109"/>
        <w:gridCol w:w="196"/>
        <w:gridCol w:w="691"/>
        <w:gridCol w:w="109"/>
        <w:gridCol w:w="109"/>
        <w:gridCol w:w="154"/>
      </w:tblGrid>
      <w:tr>
        <w:tc>
          <w:tcPr>
            <w:tcW w:w="112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81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METRO, INC.</w:t>
            </w:r>
          </w:p>
        </w:tc>
        <w:tc>
          <w:tcPr>
            <w:tcW w:w="263" w:type="dxa"/>
            <w:gridSpan w:val="2"/>
            <w:tcBorders/>
          </w:tcPr>
          <w:p>
            <w:pPr>
              <w:pStyle w:val="TableContents"/>
              <w:bidi w:val="0"/>
              <w:spacing w:before="0" w:after="283"/>
              <w:jc w:val="left"/>
              <w:rPr>
                <w:sz w:val="4"/>
                <w:szCs w:val="4"/>
              </w:rPr>
            </w:pPr>
            <w:r>
              <w:rPr>
                <w:sz w:val="4"/>
                <w:szCs w:val="4"/>
              </w:rPr>
            </w:r>
          </w:p>
        </w:tc>
      </w:tr>
      <w:tr>
        <w:tc>
          <w:tcPr>
            <w:tcW w:w="81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w:t>
            </w:r>
          </w:p>
        </w:tc>
        <w:tc>
          <w:tcPr>
            <w:tcW w:w="263" w:type="dxa"/>
            <w:gridSpan w:val="2"/>
            <w:tcBorders/>
          </w:tcPr>
          <w:p>
            <w:pPr>
              <w:pStyle w:val="TableContents"/>
              <w:bidi w:val="0"/>
              <w:spacing w:before="0" w:after="283"/>
              <w:jc w:val="left"/>
              <w:rPr>
                <w:sz w:val="4"/>
                <w:szCs w:val="4"/>
              </w:rPr>
            </w:pPr>
            <w:r>
              <w:rPr>
                <w:sz w:val="4"/>
                <w:szCs w:val="4"/>
              </w:rPr>
            </w:r>
          </w:p>
        </w:tc>
      </w:tr>
      <w:tr>
        <w:tc>
          <w:tcPr>
            <w:tcW w:w="815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3" w:type="dxa"/>
            <w:gridSpan w:val="2"/>
            <w:tcBorders/>
          </w:tcPr>
          <w:p>
            <w:pPr>
              <w:pStyle w:val="TableContents"/>
              <w:bidi w:val="0"/>
              <w:spacing w:before="0" w:after="283"/>
              <w:jc w:val="left"/>
              <w:rPr>
                <w:sz w:val="4"/>
                <w:szCs w:val="4"/>
              </w:rPr>
            </w:pPr>
            <w:r>
              <w:rPr>
                <w:sz w:val="4"/>
                <w:szCs w:val="4"/>
              </w:rPr>
            </w:r>
          </w:p>
        </w:tc>
      </w:tr>
      <w:t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688.6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1,622.7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and purchased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169.5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468.3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80.3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405.6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1,136.1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283.0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486.6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33.4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105.2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249.6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380.6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to expenses,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0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212.6</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327.3</w:t>
            </w: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8014" w:type="dxa"/>
        <w:jc w:val="center"/>
        <w:tblInd w:w="0" w:type="dxa"/>
        <w:tblLayout w:type="fixed"/>
        <w:tblCellMar>
          <w:top w:w="28" w:type="dxa"/>
          <w:left w:w="28" w:type="dxa"/>
          <w:bottom w:w="28" w:type="dxa"/>
          <w:right w:w="28" w:type="dxa"/>
        </w:tblCellMar>
      </w:tblPr>
      <w:tblGrid>
        <w:gridCol w:w="1817"/>
        <w:gridCol w:w="1599"/>
        <w:gridCol w:w="1608"/>
        <w:gridCol w:w="259"/>
        <w:gridCol w:w="754"/>
        <w:gridCol w:w="144"/>
        <w:gridCol w:w="144"/>
        <w:gridCol w:w="144"/>
        <w:gridCol w:w="144"/>
        <w:gridCol w:w="259"/>
        <w:gridCol w:w="735"/>
        <w:gridCol w:w="144"/>
        <w:gridCol w:w="109"/>
        <w:gridCol w:w="154"/>
      </w:tblGrid>
      <w:tr>
        <w:tc>
          <w:tcPr>
            <w:tcW w:w="181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75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EVERGY METRO, INC.</w:t>
            </w:r>
          </w:p>
        </w:tc>
        <w:tc>
          <w:tcPr>
            <w:tcW w:w="263" w:type="dxa"/>
            <w:gridSpan w:val="2"/>
            <w:tcBorders/>
          </w:tcPr>
          <w:p>
            <w:pPr>
              <w:pStyle w:val="TableContents"/>
              <w:bidi w:val="0"/>
              <w:spacing w:before="0" w:after="283"/>
              <w:jc w:val="left"/>
              <w:rPr>
                <w:sz w:val="4"/>
                <w:szCs w:val="4"/>
              </w:rPr>
            </w:pPr>
            <w:r>
              <w:rPr>
                <w:sz w:val="4"/>
                <w:szCs w:val="4"/>
              </w:rPr>
            </w:r>
          </w:p>
        </w:tc>
      </w:tr>
      <w:tr>
        <w:tc>
          <w:tcPr>
            <w:tcW w:w="775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tc>
        <w:tc>
          <w:tcPr>
            <w:tcW w:w="263" w:type="dxa"/>
            <w:gridSpan w:val="2"/>
            <w:tcBorders/>
          </w:tcPr>
          <w:p>
            <w:pPr>
              <w:pStyle w:val="TableContents"/>
              <w:bidi w:val="0"/>
              <w:spacing w:before="0" w:after="283"/>
              <w:jc w:val="left"/>
              <w:rPr>
                <w:sz w:val="4"/>
                <w:szCs w:val="4"/>
              </w:rPr>
            </w:pPr>
            <w:r>
              <w:rPr>
                <w:sz w:val="4"/>
                <w:szCs w:val="4"/>
              </w:rPr>
            </w:r>
          </w:p>
        </w:tc>
      </w:tr>
      <w:tr>
        <w:tc>
          <w:tcPr>
            <w:tcW w:w="775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263" w:type="dxa"/>
            <w:gridSpan w:val="2"/>
            <w:tcBorders/>
          </w:tcPr>
          <w:p>
            <w:pPr>
              <w:pStyle w:val="TableContents"/>
              <w:bidi w:val="0"/>
              <w:spacing w:before="0" w:after="283"/>
              <w:jc w:val="left"/>
              <w:rPr>
                <w:sz w:val="4"/>
                <w:szCs w:val="4"/>
              </w:rPr>
            </w:pPr>
            <w:r>
              <w:rPr>
                <w:sz w:val="4"/>
                <w:szCs w:val="4"/>
              </w:rPr>
            </w:r>
          </w:p>
        </w:tc>
      </w:tr>
      <w:t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to Date September 30</w:t>
            </w:r>
          </w:p>
        </w:tc>
        <w:tc>
          <w:tcPr>
            <w:tcW w:w="115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OPERATING ACTIVITIES:</w:t>
            </w:r>
          </w:p>
        </w:tc>
        <w:tc>
          <w:tcPr>
            <w:tcW w:w="27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(millions)</w:t>
            </w:r>
          </w:p>
        </w:tc>
        <w:tc>
          <w:tcPr>
            <w:tcW w:w="263" w:type="dxa"/>
            <w:gridSpan w:val="2"/>
            <w:tcBorders/>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327.6</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income to net cash from operating activities: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332.9</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nuclear fuel</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25.4</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refueling outage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9.3</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income taxes and credits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7.7</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equity funds used during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asset retirement obligations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working capital items: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pledged as collateral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9.0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Fuel inventory and supplies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(17.6)</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(66.5)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taxes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114.0</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31.4</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(36.3)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liabilities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4.8</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621.4</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INVESTING ACTIVITIES:</w:t>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plant and equipment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(712.5)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securities - trusts</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(54.5)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securities - trusts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50.6</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nonrefundable contributions in aid of construction</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50.1</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investing activities </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used in Investing Activities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(670.2)</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(523.9)</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FINANCING ACTIVITIES:</w:t>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net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53.7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Collateralized short-term debt, net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78.7</w:t>
            </w: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Retirements of long-term debt</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(79.5)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money pool borrowing</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refundable advances for construction</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6.8</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paid</w:t>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(used in) Financing Activities</w:t>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49.7</w:t>
            </w: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AND CASH EQUIVALENTS</w:t>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0.9</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3.3</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02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18"/>
              </w:rPr>
              <w:t>4.2</w:t>
            </w:r>
            <w:r>
              <w:rPr>
                <w:color w:val="000000"/>
              </w:rPr>
              <w:t>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816"/>
        <w:gridCol w:w="700"/>
        <w:gridCol w:w="702"/>
        <w:gridCol w:w="516"/>
        <w:gridCol w:w="516"/>
        <w:gridCol w:w="518"/>
        <w:gridCol w:w="244"/>
        <w:gridCol w:w="863"/>
        <w:gridCol w:w="135"/>
        <w:gridCol w:w="270"/>
        <w:gridCol w:w="954"/>
        <w:gridCol w:w="150"/>
        <w:gridCol w:w="779"/>
        <w:gridCol w:w="1495"/>
        <w:gridCol w:w="433"/>
        <w:gridCol w:w="208"/>
        <w:gridCol w:w="735"/>
        <w:gridCol w:w="171"/>
      </w:tblGrid>
      <w:tr>
        <w:tc>
          <w:tcPr>
            <w:tcW w:w="81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EVERGY METRO, INC. </w:t>
            </w:r>
          </w:p>
        </w:tc>
      </w:tr>
      <w:t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 Statements of Changes in Equity</w:t>
            </w:r>
          </w:p>
        </w:tc>
      </w:tr>
      <w:t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Common stock shares</w:t>
            </w:r>
          </w:p>
        </w:tc>
        <w:tc>
          <w:tcPr>
            <w:tcW w:w="124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Common Stock</w:t>
            </w:r>
          </w:p>
        </w:tc>
        <w:tc>
          <w:tcPr>
            <w:tcW w:w="137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Retained earnings</w:t>
            </w:r>
          </w:p>
        </w:tc>
        <w:tc>
          <w:tcPr>
            <w:tcW w:w="2707"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AOCI - Net gains (losses) on cash flow hedges</w:t>
            </w:r>
          </w:p>
        </w:tc>
        <w:tc>
          <w:tcPr>
            <w:tcW w:w="1114"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Total equity</w:t>
            </w:r>
          </w:p>
        </w:tc>
      </w:tr>
      <w:tr>
        <w:tc>
          <w:tcPr>
            <w:tcW w:w="221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7"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6"/>
              </w:rPr>
              <w:t>(millions, except share amounts)</w:t>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2024</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Dividends declared on common stock </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2025</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3,338.6 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3,368.7 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on common stock</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270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2025</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1,951.4 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December 31, 2025</w:t>
            </w:r>
          </w:p>
        </w:tc>
        <w:tc>
          <w:tcPr>
            <w:tcW w:w="1032"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1,857.4 </w:t>
            </w:r>
          </w:p>
        </w:tc>
        <w:tc>
          <w:tcPr>
            <w:tcW w:w="150"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33"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3,423.6 </w:t>
            </w:r>
          </w:p>
        </w:tc>
        <w:tc>
          <w:tcPr>
            <w:tcW w:w="171"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270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March 31, 2026</w:t>
            </w:r>
          </w:p>
        </w:tc>
        <w:tc>
          <w:tcPr>
            <w:tcW w:w="10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1,893.6 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3,459.7 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270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3,538.3 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jc w:val="left"/>
              <w:rPr>
                <w:sz w:val="4"/>
                <w:szCs w:val="4"/>
              </w:rPr>
            </w:pPr>
            <w:r>
              <w:rPr>
                <w:sz w:val="4"/>
                <w:szCs w:val="4"/>
              </w:rPr>
            </w:r>
          </w:p>
        </w:tc>
        <w:tc>
          <w:tcPr>
            <w:tcW w:w="270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c>
          <w:tcPr>
            <w:tcW w:w="2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hedging activity, net of tax</w:t>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18"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September 30, 2026</w:t>
            </w:r>
          </w:p>
        </w:tc>
        <w:tc>
          <w:tcPr>
            <w:tcW w:w="1032"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5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1,563.1 </w:t>
            </w:r>
          </w:p>
        </w:tc>
        <w:tc>
          <w:tcPr>
            <w:tcW w:w="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2,185.0 </w:t>
            </w:r>
          </w:p>
        </w:tc>
        <w:tc>
          <w:tcPr>
            <w:tcW w:w="15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3,750.9 </w:t>
            </w:r>
          </w:p>
        </w:tc>
        <w:tc>
          <w:tcPr>
            <w:tcW w:w="1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disclosures regarding Evergy Metro included in the accompanying Notes to Unaudited Consolidated Financial Statements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INC.</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INC.</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EVERGY METRO, INC.</w:t>
      </w:r>
    </w:p>
    <w:p>
      <w:pPr>
        <w:pStyle w:val="TextBody"/>
        <w:bidi w:val="0"/>
        <w:spacing w:lineRule="auto" w:line="288" w:before="0" w:after="120"/>
        <w:jc w:val="both"/>
        <w:rPr>
          <w:rFonts w:ascii="Times New Roman;serif" w:hAnsi="Times New Roman;serif"/>
          <w:b/>
          <w:color w:val="000000"/>
          <w:sz w:val="22"/>
        </w:rPr>
      </w:pPr>
      <w:r>
        <w:rPr>
          <w:rFonts w:ascii="Times New Roman;serif" w:hAnsi="Times New Roman;serif"/>
          <w:b/>
          <w:color w:val="000000"/>
          <w:sz w:val="22"/>
        </w:rPr>
        <w:t xml:space="preserve">Combined Notes to Unaudited Consolidated Financial Statements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notes to unaudited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 ORGANIZATION AND BASIS OF PRESENTATION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Organization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is a public utility holding company incorporated in 2017 and headquartered in Kansas City, Missouri. Evergy operates primarily through the following wholly-owned direct subsidiaries listed below.</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Evergy Kansas Central, Inc. (Evergy Kansas Central) is an integrated, regulated electric utility that provides electricity to customers in the state of Kansas. Evergy Kansas Central has one active wholly-owned subsidiary with significant operations, Evergy Kansas South, Inc. (Evergy Kansas South).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Evergy Metro, Inc. (Evergy Metro) is an integrated, regulated electric utility that provides electricity to customers in the states of Missouri and Kansas.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Evergy Missouri West, Inc. (Evergy Missouri West) is an integrated, regulated electric utility that provides electricity to customers in the state of Missouri. </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 xml:space="preserve">Evergy Transmission Company, LLC (Evergy Transmission Company)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 </w:t>
      </w:r>
    </w:p>
    <w:p>
      <w:pPr>
        <w:pStyle w:val="TextBody"/>
        <w:bidi w:val="0"/>
        <w:spacing w:lineRule="auto" w:line="288" w:before="0" w:after="240"/>
        <w:jc w:val="left"/>
      </w:pPr>
      <w:r>
        <w:rPr>
          <w:rFonts w:ascii="Times New Roman;serif" w:hAnsi="Times New Roman;serif"/>
          <w:b w:val="false"/>
          <w:color w:val="000000"/>
          <w:sz w:val="22"/>
        </w:rPr>
        <w:t>Evergy Kansas Central also owns a 50% interest in Prairie Wind Transmission, LLC (Prairie Wind), which is a joint venture between Evergy Kansas Central and subsidiaries of AEP and Berkshire Hathaway Energy Company. Prairie Wind owns a 108-mile, 345 kilovolt (kV) double-circuit transmission line that provides transmission service in the Southwest Power Pool, Inc. (SPP). Evergy</w:t>
      </w:r>
      <w:r>
        <w:rPr>
          <w:color w:val="000000"/>
        </w:rPr>
        <w:t xml:space="preserve"> </w:t>
      </w:r>
      <w:r>
        <w:rPr>
          <w:rFonts w:ascii="Times New Roman;serif" w:hAnsi="Times New Roman;serif"/>
          <w:b w:val="false"/>
          <w:color w:val="000000"/>
          <w:sz w:val="22"/>
        </w:rPr>
        <w:t>Kansas Central accounts for its investment in Prairie Wind under the equity method.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 Evergy Kansas South, Evergy Metro and Evergy Missouri West conduct business in their respective service territories using the name Evergy. Collectively, the Evergy Companies have approximately 15,800 megawatts (MWs) of owned generating capacity and renewable power purchase agreements and engage in the generation, transmission, distribution and sale of electricity to approximately 1.7 million customers in the states of Kansas and Missouri.</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Basis of Presentation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These unaudited consolidated financial statements have been prepared in accordance with generally accepted accounting principles (GAAP) for interim financial information and with the instructions to Form 10-Q and Regulation S-X. Accordingly, these unaudited consolidated financial statements do not include all of the information and notes required by GAAP for annual financial statements and should be read in conjunction with the consolidated financial statements in the Evergy Companies' combined 2025 Form 10-K.</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These unaudited consolidated financial statements, in the opinion of management, reflect all normal recurring adjustments necessary to fairly present the unaudited consolidated financial statements for each of the Evergy Companies for these interim periods. In preparing financial statements that conform to GAAP, management must make estimates and assumptions that affect the reported amounts of assets and liabilities, the reported amounts of revenues and expenses, and the disclosure of contingent assets and liabilities at the date of the financial statements. Actual results could differ from those estimates.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Principles of Consolidation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Each of Evergy's, Evergy Kansas Central's and Evergy Metro's unaudited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Immaterial Restatement of Evergy Metro's Prior Period Financial Statements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Subsequent to the issuance of the June 30, 2026 interim financial statements of Evergy Metro, management determined certain intercompany charges related to common-use assets were incorrect. As a result, Evergy Metro's financial statement line items below have been restated from the amounts previously reported to correct for the impacts of the misstatements.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 evaluated the materiality of the misstatements both qualitatively and quantitatively in accordance with Staff Accounting Bulletin (“SAB”) No. 99, Materiality, and SAB No. 108, Considering the Effects of Prior Year Misstatements When Quantifying Misstatements in Current Year Financial Statements, and determined the effect of the misstatements was not material to the previously issued financial statements. However, Evergy Metro has restated its consolidated financial statements for the prior periods presented to correct the immaterial misstatements. Evergy Metro will also restate previously reported financial information for such immaterial misstatements in future consolidated financial statements, as applicable.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following tables present the effect of the immaterial misstatements on Evergy Metro's consolidated balance sheet, consolidated statement of comprehensive income, consolidated statement of cash flows, and consolidated statement of changes in equity for the periods indicated.</w:t>
      </w:r>
    </w:p>
    <w:p>
      <w:pPr>
        <w:pStyle w:val="TextBody"/>
        <w:bidi w:val="0"/>
        <w:spacing w:before="0" w:after="24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7564" w:type="dxa"/>
        <w:jc w:val="left"/>
        <w:tblInd w:w="0" w:type="dxa"/>
        <w:tblLayout w:type="fixed"/>
        <w:tblCellMar>
          <w:top w:w="28" w:type="dxa"/>
          <w:left w:w="28" w:type="dxa"/>
          <w:bottom w:w="28" w:type="dxa"/>
          <w:right w:w="28" w:type="dxa"/>
        </w:tblCellMar>
      </w:tblPr>
      <w:tblGrid>
        <w:gridCol w:w="1115"/>
        <w:gridCol w:w="985"/>
        <w:gridCol w:w="990"/>
        <w:gridCol w:w="109"/>
        <w:gridCol w:w="109"/>
        <w:gridCol w:w="109"/>
        <w:gridCol w:w="211"/>
        <w:gridCol w:w="871"/>
        <w:gridCol w:w="109"/>
        <w:gridCol w:w="109"/>
        <w:gridCol w:w="109"/>
        <w:gridCol w:w="109"/>
        <w:gridCol w:w="265"/>
        <w:gridCol w:w="662"/>
        <w:gridCol w:w="139"/>
        <w:gridCol w:w="109"/>
        <w:gridCol w:w="109"/>
        <w:gridCol w:w="109"/>
        <w:gridCol w:w="211"/>
        <w:gridCol w:w="871"/>
        <w:gridCol w:w="154"/>
      </w:tblGrid>
      <w:tr>
        <w:tc>
          <w:tcPr>
            <w:tcW w:w="11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5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 INC.</w:t>
            </w:r>
          </w:p>
        </w:tc>
      </w:tr>
      <w:tr>
        <w:tc>
          <w:tcPr>
            <w:tcW w:w="756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Balance Sheet</w:t>
            </w:r>
          </w:p>
        </w:tc>
      </w:tr>
      <w:t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c>
          <w:tcPr>
            <w:tcW w:w="309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4474"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9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10,352.2 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10,318.8 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3"/>
        <w:gridCol w:w="549"/>
        <w:gridCol w:w="550"/>
        <w:gridCol w:w="109"/>
        <w:gridCol w:w="109"/>
        <w:gridCol w:w="109"/>
        <w:gridCol w:w="224"/>
        <w:gridCol w:w="654"/>
        <w:gridCol w:w="115"/>
        <w:gridCol w:w="111"/>
        <w:gridCol w:w="111"/>
        <w:gridCol w:w="111"/>
        <w:gridCol w:w="303"/>
        <w:gridCol w:w="605"/>
        <w:gridCol w:w="158"/>
        <w:gridCol w:w="111"/>
        <w:gridCol w:w="111"/>
        <w:gridCol w:w="111"/>
        <w:gridCol w:w="216"/>
        <w:gridCol w:w="632"/>
        <w:gridCol w:w="111"/>
        <w:gridCol w:w="109"/>
        <w:gridCol w:w="109"/>
        <w:gridCol w:w="109"/>
        <w:gridCol w:w="224"/>
        <w:gridCol w:w="654"/>
        <w:gridCol w:w="115"/>
        <w:gridCol w:w="109"/>
        <w:gridCol w:w="109"/>
        <w:gridCol w:w="109"/>
        <w:gridCol w:w="303"/>
        <w:gridCol w:w="605"/>
        <w:gridCol w:w="158"/>
        <w:gridCol w:w="109"/>
        <w:gridCol w:w="109"/>
        <w:gridCol w:w="109"/>
        <w:gridCol w:w="216"/>
        <w:gridCol w:w="631"/>
        <w:gridCol w:w="165"/>
      </w:tblGrid>
      <w:tr>
        <w:tc>
          <w:tcPr>
            <w:tcW w:w="104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 INC.</w:t>
            </w:r>
          </w:p>
        </w:tc>
      </w:tr>
      <w:tr>
        <w:tc>
          <w:tcPr>
            <w:tcW w:w="102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 of Comprehensive Income</w:t>
            </w:r>
          </w:p>
        </w:tc>
      </w:tr>
      <w:tr>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to Date September 30, 2025</w:t>
            </w:r>
          </w:p>
        </w:tc>
      </w:tr>
      <w:tr>
        <w:tc>
          <w:tcPr>
            <w:tcW w:w="2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3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w:t>
            </w:r>
          </w:p>
        </w:tc>
        <w:tc>
          <w:tcPr>
            <w:tcW w:w="333"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w:t>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c>
          <w:tcPr>
            <w:tcW w:w="21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6" w:type="dxa"/>
            <w:gridSpan w:val="3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4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289.0 </w:t>
            </w:r>
          </w:p>
        </w:tc>
        <w:tc>
          <w:tcPr>
            <w:tcW w:w="1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56" w:type="dxa"/>
        <w:jc w:val="left"/>
        <w:tblInd w:w="0" w:type="dxa"/>
        <w:tblLayout w:type="fixed"/>
        <w:tblCellMar>
          <w:top w:w="28" w:type="dxa"/>
          <w:left w:w="28" w:type="dxa"/>
          <w:bottom w:w="28" w:type="dxa"/>
          <w:right w:w="28" w:type="dxa"/>
        </w:tblCellMar>
      </w:tblPr>
      <w:tblGrid>
        <w:gridCol w:w="2104"/>
        <w:gridCol w:w="1848"/>
        <w:gridCol w:w="1853"/>
        <w:gridCol w:w="109"/>
        <w:gridCol w:w="109"/>
        <w:gridCol w:w="109"/>
        <w:gridCol w:w="257"/>
        <w:gridCol w:w="750"/>
        <w:gridCol w:w="132"/>
        <w:gridCol w:w="109"/>
        <w:gridCol w:w="109"/>
        <w:gridCol w:w="109"/>
        <w:gridCol w:w="303"/>
        <w:gridCol w:w="605"/>
        <w:gridCol w:w="158"/>
        <w:gridCol w:w="109"/>
        <w:gridCol w:w="109"/>
        <w:gridCol w:w="109"/>
        <w:gridCol w:w="229"/>
        <w:gridCol w:w="669"/>
        <w:gridCol w:w="167"/>
      </w:tblGrid>
      <w:tr>
        <w:tc>
          <w:tcPr>
            <w:tcW w:w="210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100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 INC.</w:t>
            </w:r>
          </w:p>
        </w:tc>
      </w:tr>
      <w:tr>
        <w:tc>
          <w:tcPr>
            <w:tcW w:w="100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tc>
      </w:tr>
      <w:tr>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c>
          <w:tcPr>
            <w:tcW w:w="58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(USED IN) OPERATING ACTIVITIES:</w:t>
            </w:r>
          </w:p>
        </w:tc>
        <w:tc>
          <w:tcPr>
            <w:tcW w:w="4251"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income to net cash from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working capital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other assets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3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6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9819" w:type="dxa"/>
        <w:jc w:val="left"/>
        <w:tblInd w:w="0" w:type="dxa"/>
        <w:tblLayout w:type="fixed"/>
        <w:tblCellMar>
          <w:top w:w="28" w:type="dxa"/>
          <w:left w:w="28" w:type="dxa"/>
          <w:bottom w:w="28" w:type="dxa"/>
          <w:right w:w="28" w:type="dxa"/>
        </w:tblCellMar>
      </w:tblPr>
      <w:tblGrid>
        <w:gridCol w:w="1038"/>
        <w:gridCol w:w="910"/>
        <w:gridCol w:w="917"/>
        <w:gridCol w:w="221"/>
        <w:gridCol w:w="804"/>
        <w:gridCol w:w="114"/>
        <w:gridCol w:w="265"/>
        <w:gridCol w:w="662"/>
        <w:gridCol w:w="139"/>
        <w:gridCol w:w="211"/>
        <w:gridCol w:w="766"/>
        <w:gridCol w:w="109"/>
        <w:gridCol w:w="109"/>
        <w:gridCol w:w="109"/>
        <w:gridCol w:w="109"/>
        <w:gridCol w:w="221"/>
        <w:gridCol w:w="804"/>
        <w:gridCol w:w="114"/>
        <w:gridCol w:w="265"/>
        <w:gridCol w:w="662"/>
        <w:gridCol w:w="139"/>
        <w:gridCol w:w="211"/>
        <w:gridCol w:w="766"/>
        <w:gridCol w:w="154"/>
      </w:tblGrid>
      <w:t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981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 INC.</w:t>
            </w:r>
          </w:p>
        </w:tc>
      </w:tr>
      <w:tr>
        <w:tc>
          <w:tcPr>
            <w:tcW w:w="9819"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 Statement of Changes in Equity</w:t>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Equity</w:t>
            </w:r>
          </w:p>
        </w:tc>
      </w:tr>
      <w:t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106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w:t>
            </w:r>
          </w:p>
        </w:tc>
        <w:tc>
          <w:tcPr>
            <w:tcW w:w="108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Reported</w:t>
            </w:r>
          </w:p>
        </w:tc>
        <w:tc>
          <w:tcPr>
            <w:tcW w:w="1066"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w:t>
            </w:r>
          </w:p>
        </w:tc>
        <w:tc>
          <w:tcPr>
            <w:tcW w:w="1131" w:type="dxa"/>
            <w:gridSpan w:val="3"/>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Revised</w:t>
            </w:r>
          </w:p>
        </w:tc>
      </w:tr>
      <w:tr>
        <w:tc>
          <w:tcPr>
            <w:tcW w:w="28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2024</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1,830.4 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2025</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3,548.5 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1,890.2 </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3,456.4 </w:t>
            </w:r>
          </w:p>
        </w:tc>
        <w:tc>
          <w:tcPr>
            <w:tcW w:w="11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3,423.6 </w:t>
            </w:r>
          </w:p>
        </w:tc>
        <w:tc>
          <w:tcPr>
            <w:tcW w:w="154"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3,492.5 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2,005.1 </w:t>
            </w:r>
          </w:p>
        </w:tc>
        <w:tc>
          <w:tcPr>
            <w:tcW w:w="1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3,571.1 </w:t>
            </w:r>
          </w:p>
        </w:tc>
        <w:tc>
          <w:tcPr>
            <w:tcW w:w="1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3,538.3 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Cash, Cash Equivalents and Restricted Cash</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Cash equivalents consist of highly liquid investments with original maturities of three months or less at acquisition. Evergy has restricted cash included in Other Current Assets and Other Non-current Assets on Evergy's consolidated balance sheets to facilitate the servicing of Evergy Missouri West Storm Funding I, LLC's debt and the funding requirements for a jointly-owned generation facility. The following table summarizes the cash, cash equivalents and restricted cash included on Evergy's consolidated balance sheets. </w:t>
      </w:r>
    </w:p>
    <w:tbl>
      <w:tblPr>
        <w:tblW w:w="7444" w:type="dxa"/>
        <w:jc w:val="left"/>
        <w:tblInd w:w="0" w:type="dxa"/>
        <w:tblLayout w:type="fixed"/>
        <w:tblCellMar>
          <w:top w:w="28" w:type="dxa"/>
          <w:left w:w="28" w:type="dxa"/>
          <w:bottom w:w="28" w:type="dxa"/>
          <w:right w:w="28" w:type="dxa"/>
        </w:tblCellMar>
      </w:tblPr>
      <w:tblGrid>
        <w:gridCol w:w="1429"/>
        <w:gridCol w:w="1254"/>
        <w:gridCol w:w="1261"/>
        <w:gridCol w:w="109"/>
        <w:gridCol w:w="109"/>
        <w:gridCol w:w="109"/>
        <w:gridCol w:w="319"/>
        <w:gridCol w:w="774"/>
        <w:gridCol w:w="166"/>
        <w:gridCol w:w="109"/>
        <w:gridCol w:w="109"/>
        <w:gridCol w:w="109"/>
        <w:gridCol w:w="109"/>
        <w:gridCol w:w="109"/>
        <w:gridCol w:w="109"/>
        <w:gridCol w:w="303"/>
        <w:gridCol w:w="734"/>
        <w:gridCol w:w="223"/>
      </w:tblGrid>
      <w:tr>
        <w:tc>
          <w:tcPr>
            <w:tcW w:w="1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c>
          <w:tcPr>
            <w:tcW w:w="394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39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1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4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Fuel Inventory and Supplies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Evergy Companies record fuel inventory and supplies at average cost. The following table separately states the balances for fuel inventory and supplies.</w:t>
      </w:r>
    </w:p>
    <w:tbl>
      <w:tblPr>
        <w:tblW w:w="5992" w:type="dxa"/>
        <w:jc w:val="left"/>
        <w:tblInd w:w="0" w:type="dxa"/>
        <w:tblLayout w:type="fixed"/>
        <w:tblCellMar>
          <w:top w:w="28" w:type="dxa"/>
          <w:left w:w="28" w:type="dxa"/>
          <w:bottom w:w="28" w:type="dxa"/>
          <w:right w:w="28" w:type="dxa"/>
        </w:tblCellMar>
      </w:tblPr>
      <w:tblGrid>
        <w:gridCol w:w="862"/>
        <w:gridCol w:w="757"/>
        <w:gridCol w:w="765"/>
        <w:gridCol w:w="109"/>
        <w:gridCol w:w="109"/>
        <w:gridCol w:w="109"/>
        <w:gridCol w:w="283"/>
        <w:gridCol w:w="829"/>
        <w:gridCol w:w="147"/>
        <w:gridCol w:w="109"/>
        <w:gridCol w:w="109"/>
        <w:gridCol w:w="109"/>
        <w:gridCol w:w="109"/>
        <w:gridCol w:w="109"/>
        <w:gridCol w:w="109"/>
        <w:gridCol w:w="273"/>
        <w:gridCol w:w="799"/>
        <w:gridCol w:w="142"/>
        <w:gridCol w:w="154"/>
      </w:tblGrid>
      <w:t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 and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8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inventory and supplies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4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Property, Plant and Equipment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tables summarize the property, plant and equipment for each of the Evergy Companies.</w:t>
      </w:r>
    </w:p>
    <w:tbl>
      <w:tblPr>
        <w:tblW w:w="9920" w:type="dxa"/>
        <w:jc w:val="center"/>
        <w:tblInd w:w="0" w:type="dxa"/>
        <w:tblLayout w:type="fixed"/>
        <w:tblCellMar>
          <w:top w:w="28" w:type="dxa"/>
          <w:left w:w="28" w:type="dxa"/>
          <w:bottom w:w="28" w:type="dxa"/>
          <w:right w:w="28" w:type="dxa"/>
        </w:tblCellMar>
      </w:tblPr>
      <w:tblGrid>
        <w:gridCol w:w="1131"/>
        <w:gridCol w:w="993"/>
        <w:gridCol w:w="996"/>
        <w:gridCol w:w="109"/>
        <w:gridCol w:w="109"/>
        <w:gridCol w:w="109"/>
        <w:gridCol w:w="109"/>
        <w:gridCol w:w="109"/>
        <w:gridCol w:w="109"/>
        <w:gridCol w:w="211"/>
        <w:gridCol w:w="871"/>
        <w:gridCol w:w="109"/>
        <w:gridCol w:w="109"/>
        <w:gridCol w:w="109"/>
        <w:gridCol w:w="109"/>
        <w:gridCol w:w="109"/>
        <w:gridCol w:w="109"/>
        <w:gridCol w:w="109"/>
        <w:gridCol w:w="123"/>
        <w:gridCol w:w="123"/>
        <w:gridCol w:w="123"/>
        <w:gridCol w:w="238"/>
        <w:gridCol w:w="985"/>
        <w:gridCol w:w="123"/>
        <w:gridCol w:w="123"/>
        <w:gridCol w:w="123"/>
        <w:gridCol w:w="123"/>
        <w:gridCol w:w="109"/>
        <w:gridCol w:w="109"/>
        <w:gridCol w:w="109"/>
        <w:gridCol w:w="109"/>
        <w:gridCol w:w="109"/>
        <w:gridCol w:w="109"/>
        <w:gridCol w:w="211"/>
        <w:gridCol w:w="871"/>
        <w:gridCol w:w="109"/>
        <w:gridCol w:w="109"/>
        <w:gridCol w:w="109"/>
        <w:gridCol w:w="154"/>
      </w:tblGrid>
      <w:t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1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w:t>
            </w:r>
          </w:p>
        </w:tc>
      </w:tr>
      <w:tr>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plant in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plant acquisition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(7,620.4)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in service,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12,474.3 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fuel,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14,144.4 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Metro</w:t>
            </w:r>
          </w:p>
        </w:tc>
      </w:tr>
      <w:tr>
        <w:tc>
          <w:tcPr>
            <w:tcW w:w="31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plant in 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Electric plant acquisition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Plant in service,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fuel,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c>
          <w:tcPr>
            <w:tcW w:w="312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26,301.5 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13,460.1 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8,448.9 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ind w:left="0" w:right="0" w:hanging="180"/>
        <w:jc w:val="left"/>
        <w:rPr>
          <w:rFonts w:ascii="Times New Roman;serif" w:hAnsi="Times New Roman;serif"/>
          <w:b/>
          <w:color w:val="000000"/>
          <w:sz w:val="22"/>
        </w:rPr>
      </w:pPr>
      <w:r>
        <w:rPr>
          <w:rFonts w:ascii="Times New Roman;serif" w:hAnsi="Times New Roman;serif"/>
          <w:b/>
          <w:color w:val="000000"/>
          <w:sz w:val="22"/>
        </w:rPr>
        <w:t>Other Income and Other Expense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tables below show the detail of other income and other expense, respectively, for each of the Evergy Companies.</w:t>
      </w:r>
    </w:p>
    <w:tbl>
      <w:tblPr>
        <w:tblW w:w="8145" w:type="dxa"/>
        <w:jc w:val="left"/>
        <w:tblInd w:w="0" w:type="dxa"/>
        <w:tblLayout w:type="fixed"/>
        <w:tblCellMar>
          <w:top w:w="28" w:type="dxa"/>
          <w:left w:w="28" w:type="dxa"/>
          <w:bottom w:w="28" w:type="dxa"/>
          <w:right w:w="28" w:type="dxa"/>
        </w:tblCellMar>
      </w:tblPr>
      <w:tblGrid>
        <w:gridCol w:w="1460"/>
        <w:gridCol w:w="1215"/>
        <w:gridCol w:w="1225"/>
        <w:gridCol w:w="211"/>
        <w:gridCol w:w="511"/>
        <w:gridCol w:w="109"/>
        <w:gridCol w:w="109"/>
        <w:gridCol w:w="109"/>
        <w:gridCol w:w="109"/>
        <w:gridCol w:w="211"/>
        <w:gridCol w:w="406"/>
        <w:gridCol w:w="109"/>
        <w:gridCol w:w="109"/>
        <w:gridCol w:w="109"/>
        <w:gridCol w:w="109"/>
        <w:gridCol w:w="211"/>
        <w:gridCol w:w="511"/>
        <w:gridCol w:w="109"/>
        <w:gridCol w:w="109"/>
        <w:gridCol w:w="109"/>
        <w:gridCol w:w="109"/>
        <w:gridCol w:w="211"/>
        <w:gridCol w:w="511"/>
        <w:gridCol w:w="154"/>
      </w:tblGrid>
      <w:tr>
        <w:tc>
          <w:tcPr>
            <w:tcW w:w="146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424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Corporate-owned life insurance policy benefit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commercial solar project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 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 policy benefit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AFUDC 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c>
          <w:tcPr>
            <w:tcW w:w="390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79" w:type="dxa"/>
        <w:jc w:val="left"/>
        <w:tblInd w:w="0" w:type="dxa"/>
        <w:tblLayout w:type="fixed"/>
        <w:tblCellMar>
          <w:top w:w="28" w:type="dxa"/>
          <w:left w:w="28" w:type="dxa"/>
          <w:bottom w:w="28" w:type="dxa"/>
          <w:right w:w="28" w:type="dxa"/>
        </w:tblCellMar>
      </w:tblPr>
      <w:tblGrid>
        <w:gridCol w:w="1423"/>
        <w:gridCol w:w="1250"/>
        <w:gridCol w:w="1256"/>
        <w:gridCol w:w="211"/>
        <w:gridCol w:w="586"/>
        <w:gridCol w:w="109"/>
        <w:gridCol w:w="109"/>
        <w:gridCol w:w="109"/>
        <w:gridCol w:w="109"/>
        <w:gridCol w:w="211"/>
        <w:gridCol w:w="586"/>
        <w:gridCol w:w="109"/>
        <w:gridCol w:w="109"/>
        <w:gridCol w:w="109"/>
        <w:gridCol w:w="109"/>
        <w:gridCol w:w="211"/>
        <w:gridCol w:w="586"/>
        <w:gridCol w:w="109"/>
        <w:gridCol w:w="109"/>
        <w:gridCol w:w="109"/>
        <w:gridCol w:w="109"/>
        <w:gridCol w:w="211"/>
        <w:gridCol w:w="586"/>
        <w:gridCol w:w="154"/>
      </w:tblGrid>
      <w:t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Expense</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46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cost component of net benefit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 cost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cost component of net benefit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 cost</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Non-service cost component of net benefit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Corporate-owned life insurance cost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2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180"/>
        <w:jc w:val="left"/>
        <w:rPr>
          <w:rFonts w:ascii="Times New Roman;serif" w:hAnsi="Times New Roman;serif"/>
          <w:b/>
          <w:color w:val="000000"/>
          <w:sz w:val="22"/>
        </w:rPr>
      </w:pPr>
      <w:r>
        <w:rPr>
          <w:rFonts w:ascii="Times New Roman;serif" w:hAnsi="Times New Roman;serif"/>
          <w:b/>
          <w:color w:val="000000"/>
          <w:sz w:val="22"/>
        </w:rPr>
        <w:t>Investments in Early-Stage Clean Energy and Energy Solution Companies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Historically, Evergy made limited non-regulated equity and debt investments in early-stage clean energy and energy solution companies. Evergy is currently in the process of disposing of these investments. These investments are recorded in Other Non-current Assets on Evergy’s consolidated balance sheets and as of September 30, 2026, and December 31, 2025, the total value of these investments was $19.6 million and $41.3 million, respectively.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the three months ended September 30, 2026 and 2025, Evergy recorded $0.8 million and no investment losses, respectively, in investment earnings (loss) on its consolidated statements of comprehensive income. Year to date September 30, 2026 and 2025, Evergy recorded $7.3 million of investment gains and $29.0 million of investment losses, respectively, in investment earnings (loss) on its consolidated statements of comprehensive income. These gains and losses resulted from changes in the fair value of certain investments, impairment losses and gains or losses recognized upon the disposition of certain investments.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could experience additional gains or losses on these investments as a result of further changes in their value or upon their ultimate liquidation.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Earnings Per Share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To compute basic earnings per common share (EPS), Evergy divides consolidated net income attributable to Evergy, Inc. by the weighted average number of common shares outstanding. Diluted EPS includes the effect of issuable common shares resulting from restricted share units (RSUs), convertible notes and forward sale agreements entered into through Evergy's at-the-market equity offering program (ATM Program). Evergy computes the dilutive effects of potential issuances of common shares using the treasury stock method and the if-converted method, as applicable.</w:t>
      </w:r>
    </w:p>
    <w:p>
      <w:pPr>
        <w:pStyle w:val="TextBody"/>
        <w:bidi w:val="0"/>
        <w:spacing w:before="0" w:after="0"/>
        <w:jc w:val="left"/>
      </w:p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reconciles Evergy's basic and diluted EPS.</w:t>
      </w:r>
    </w:p>
    <w:tbl>
      <w:tblPr>
        <w:tblW w:w="10109" w:type="dxa"/>
        <w:jc w:val="left"/>
        <w:tblInd w:w="0" w:type="dxa"/>
        <w:tblLayout w:type="fixed"/>
        <w:tblCellMar>
          <w:top w:w="28" w:type="dxa"/>
          <w:left w:w="28" w:type="dxa"/>
          <w:bottom w:w="28" w:type="dxa"/>
          <w:right w:w="28" w:type="dxa"/>
        </w:tblCellMar>
      </w:tblPr>
      <w:tblGrid>
        <w:gridCol w:w="1933"/>
        <w:gridCol w:w="1695"/>
        <w:gridCol w:w="171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c>
          <w:tcPr>
            <w:tcW w:w="1933"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per share amounts)</w:t>
            </w:r>
          </w:p>
        </w:tc>
      </w:tr>
      <w:t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Shares Outstanding</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 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Effect of dilutive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average number of common shares outstanding</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33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effect of dilutive securities for the three months ended and year to date September 30, 2026, included 4.8 million and 4.6 million shares, respectively, from Evergy's convertible notes. The effect of dilutive securities for the three months ended and year to date September 30, 2025, included 3.0 million shares and 2.1 million shares, respectively, from Evergy's convertible notes.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table below summarizes the anti-dilutive securities excluded from the computation of diluted EPS.</w:t>
      </w:r>
    </w:p>
    <w:tbl>
      <w:tblPr>
        <w:tblW w:w="6638" w:type="dxa"/>
        <w:jc w:val="left"/>
        <w:tblInd w:w="0" w:type="dxa"/>
        <w:tblLayout w:type="fixed"/>
        <w:tblCellMar>
          <w:top w:w="28" w:type="dxa"/>
          <w:left w:w="28" w:type="dxa"/>
          <w:bottom w:w="28" w:type="dxa"/>
          <w:right w:w="28" w:type="dxa"/>
        </w:tblCellMar>
      </w:tblPr>
      <w:tblGrid>
        <w:gridCol w:w="518"/>
        <w:gridCol w:w="456"/>
        <w:gridCol w:w="456"/>
        <w:gridCol w:w="456"/>
        <w:gridCol w:w="456"/>
        <w:gridCol w:w="459"/>
        <w:gridCol w:w="206"/>
        <w:gridCol w:w="206"/>
        <w:gridCol w:w="206"/>
        <w:gridCol w:w="206"/>
        <w:gridCol w:w="206"/>
        <w:gridCol w:w="206"/>
        <w:gridCol w:w="206"/>
        <w:gridCol w:w="206"/>
        <w:gridCol w:w="220"/>
        <w:gridCol w:w="109"/>
        <w:gridCol w:w="109"/>
        <w:gridCol w:w="109"/>
        <w:gridCol w:w="203"/>
        <w:gridCol w:w="203"/>
        <w:gridCol w:w="176"/>
        <w:gridCol w:w="137"/>
        <w:gridCol w:w="137"/>
        <w:gridCol w:w="137"/>
        <w:gridCol w:w="203"/>
        <w:gridCol w:w="203"/>
        <w:gridCol w:w="243"/>
      </w:tblGrid>
      <w:tr>
        <w:tc>
          <w:tcPr>
            <w:tcW w:w="518"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c>
          <w:tcPr>
            <w:tcW w:w="14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28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Anti-Dilutive Securities</w:t>
            </w:r>
          </w:p>
        </w:tc>
        <w:tc>
          <w:tcPr>
            <w:tcW w:w="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1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4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(shares in millions)</w:t>
            </w:r>
          </w:p>
        </w:tc>
      </w:tr>
      <w:tr>
        <w:tc>
          <w:tcPr>
            <w:tcW w:w="14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r>
      <w:tr>
        <w:tc>
          <w:tcPr>
            <w:tcW w:w="14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r>
      <w:tr>
        <w:tc>
          <w:tcPr>
            <w:tcW w:w="14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r>
      <w:tr>
        <w:tc>
          <w:tcPr>
            <w:tcW w:w="14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r>
      <w:tr>
        <w:tc>
          <w:tcPr>
            <w:tcW w:w="2801" w:type="dxa"/>
            <w:gridSpan w:val="6"/>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 with performance measures</w:t>
            </w:r>
          </w:p>
        </w:tc>
        <w:tc>
          <w:tcPr>
            <w:tcW w:w="41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430"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Supplemental Cash Flow Information</w:t>
      </w:r>
    </w:p>
    <w:tbl>
      <w:tblPr>
        <w:tblW w:w="8766" w:type="dxa"/>
        <w:jc w:val="center"/>
        <w:tblInd w:w="0" w:type="dxa"/>
        <w:tblLayout w:type="fixed"/>
        <w:tblCellMar>
          <w:top w:w="28" w:type="dxa"/>
          <w:left w:w="28" w:type="dxa"/>
          <w:bottom w:w="28" w:type="dxa"/>
          <w:right w:w="28" w:type="dxa"/>
        </w:tblCellMar>
      </w:tblPr>
      <w:tblGrid>
        <w:gridCol w:w="2239"/>
        <w:gridCol w:w="1966"/>
        <w:gridCol w:w="1990"/>
        <w:gridCol w:w="109"/>
        <w:gridCol w:w="109"/>
        <w:gridCol w:w="109"/>
        <w:gridCol w:w="211"/>
        <w:gridCol w:w="616"/>
        <w:gridCol w:w="109"/>
        <w:gridCol w:w="109"/>
        <w:gridCol w:w="109"/>
        <w:gridCol w:w="109"/>
        <w:gridCol w:w="211"/>
        <w:gridCol w:w="616"/>
        <w:gridCol w:w="154"/>
      </w:tblGrid>
      <w:tr>
        <w:tc>
          <w:tcPr>
            <w:tcW w:w="2239"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(received from):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of VIEs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financing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reinvested dividends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65" w:type="dxa"/>
        <w:jc w:val="center"/>
        <w:tblInd w:w="0" w:type="dxa"/>
        <w:tblLayout w:type="fixed"/>
        <w:tblCellMar>
          <w:top w:w="28" w:type="dxa"/>
          <w:left w:w="28" w:type="dxa"/>
          <w:bottom w:w="28" w:type="dxa"/>
          <w:right w:w="28" w:type="dxa"/>
        </w:tblCellMar>
      </w:tblPr>
      <w:tblGrid>
        <w:gridCol w:w="2240"/>
        <w:gridCol w:w="1975"/>
        <w:gridCol w:w="1979"/>
        <w:gridCol w:w="109"/>
        <w:gridCol w:w="109"/>
        <w:gridCol w:w="109"/>
        <w:gridCol w:w="211"/>
        <w:gridCol w:w="616"/>
        <w:gridCol w:w="109"/>
        <w:gridCol w:w="109"/>
        <w:gridCol w:w="109"/>
        <w:gridCol w:w="109"/>
        <w:gridCol w:w="211"/>
        <w:gridCol w:w="616"/>
        <w:gridCol w:w="154"/>
      </w:tblGrid>
      <w:tr>
        <w:tc>
          <w:tcPr>
            <w:tcW w:w="2240"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(received from):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additions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8660" w:type="dxa"/>
        <w:jc w:val="center"/>
        <w:tblInd w:w="0" w:type="dxa"/>
        <w:tblLayout w:type="fixed"/>
        <w:tblCellMar>
          <w:top w:w="28" w:type="dxa"/>
          <w:left w:w="28" w:type="dxa"/>
          <w:bottom w:w="28" w:type="dxa"/>
          <w:right w:w="28" w:type="dxa"/>
        </w:tblCellMar>
      </w:tblPr>
      <w:tblGrid>
        <w:gridCol w:w="2243"/>
        <w:gridCol w:w="1972"/>
        <w:gridCol w:w="1979"/>
        <w:gridCol w:w="109"/>
        <w:gridCol w:w="109"/>
        <w:gridCol w:w="109"/>
        <w:gridCol w:w="211"/>
        <w:gridCol w:w="616"/>
        <w:gridCol w:w="109"/>
        <w:gridCol w:w="109"/>
        <w:gridCol w:w="109"/>
        <w:gridCol w:w="109"/>
        <w:gridCol w:w="211"/>
        <w:gridCol w:w="511"/>
        <w:gridCol w:w="154"/>
      </w:tblGrid>
      <w:tr>
        <w:tc>
          <w:tcPr>
            <w:tcW w:w="2243"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(received from):</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net of amount capitalized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9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additions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Dividends Declared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October 2026, Evergy, Inc.'s Board of Directors (Evergy Board) declared a quarterly dividend of $0.7225 per share on Evergy's common stock. The common stock dividend is payable December 18, 2026, to shareholders of record as of November 20, 2026.</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October 2026, Evergy Kansas Central's Board of Directors declared a cash dividend to Evergy of up to $150.0 million, payable on or before December 17,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2. REVENUE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Evergy Companies' revenues disaggregated by customer class are summarized in the following tables.</w:t>
      </w:r>
    </w:p>
    <w:tbl>
      <w:tblPr>
        <w:tblW w:w="9213" w:type="dxa"/>
        <w:jc w:val="left"/>
        <w:tblInd w:w="0" w:type="dxa"/>
        <w:tblLayout w:type="fixed"/>
        <w:tblCellMar>
          <w:top w:w="28" w:type="dxa"/>
          <w:left w:w="28" w:type="dxa"/>
          <w:bottom w:w="28" w:type="dxa"/>
          <w:right w:w="28" w:type="dxa"/>
        </w:tblCellMar>
      </w:tblPr>
      <w:tblGrid>
        <w:gridCol w:w="1334"/>
        <w:gridCol w:w="1173"/>
        <w:gridCol w:w="1198"/>
        <w:gridCol w:w="211"/>
        <w:gridCol w:w="766"/>
        <w:gridCol w:w="109"/>
        <w:gridCol w:w="109"/>
        <w:gridCol w:w="109"/>
        <w:gridCol w:w="109"/>
        <w:gridCol w:w="211"/>
        <w:gridCol w:w="766"/>
        <w:gridCol w:w="109"/>
        <w:gridCol w:w="211"/>
        <w:gridCol w:w="766"/>
        <w:gridCol w:w="109"/>
        <w:gridCol w:w="109"/>
        <w:gridCol w:w="109"/>
        <w:gridCol w:w="109"/>
        <w:gridCol w:w="211"/>
        <w:gridCol w:w="766"/>
        <w:gridCol w:w="109"/>
        <w:gridCol w:w="109"/>
        <w:gridCol w:w="401"/>
      </w:tblGrid>
      <w:tr>
        <w:tc>
          <w:tcPr>
            <w:tcW w:w="1334"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499" w:type="dxa"/>
            <w:gridSpan w:val="9"/>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6"/>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cPr>
          <w:p>
            <w:pPr>
              <w:pStyle w:val="TableContents"/>
              <w:bidi w:val="0"/>
              <w:spacing w:before="0" w:after="283"/>
              <w:jc w:val="left"/>
              <w:rPr>
                <w:sz w:val="4"/>
                <w:szCs w:val="4"/>
              </w:rPr>
            </w:pPr>
            <w:r>
              <w:rPr>
                <w:sz w:val="4"/>
                <w:szCs w:val="4"/>
              </w:rPr>
            </w:r>
          </w:p>
        </w:tc>
      </w:tr>
      <w:tr>
        <w:tc>
          <w:tcPr>
            <w:tcW w:w="37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4998" w:type="dxa"/>
            <w:gridSpan w:val="18"/>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510" w:type="dxa"/>
            <w:gridSpan w:val="2"/>
            <w:tcBorders/>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Industrial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retail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Wholesale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operating revenues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95" w:type="dxa"/>
            <w:gridSpan w:val="14"/>
            <w:tcBorders/>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923" w:type="dxa"/>
            <w:gridSpan w:val="8"/>
            <w:tcBorders/>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422" w:type="dxa"/>
            <w:gridSpan w:val="17"/>
            <w:tcBorders/>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tbl>
      <w:tblPr>
        <w:tblW w:w="9063" w:type="dxa"/>
        <w:jc w:val="left"/>
        <w:tblInd w:w="0" w:type="dxa"/>
        <w:tblLayout w:type="fixed"/>
        <w:tblCellMar>
          <w:top w:w="28" w:type="dxa"/>
          <w:left w:w="28" w:type="dxa"/>
          <w:bottom w:w="28" w:type="dxa"/>
          <w:right w:w="28" w:type="dxa"/>
        </w:tblCellMar>
      </w:tblPr>
      <w:tblGrid>
        <w:gridCol w:w="1340"/>
        <w:gridCol w:w="1181"/>
        <w:gridCol w:w="1184"/>
        <w:gridCol w:w="211"/>
        <w:gridCol w:w="766"/>
        <w:gridCol w:w="109"/>
        <w:gridCol w:w="109"/>
        <w:gridCol w:w="109"/>
        <w:gridCol w:w="109"/>
        <w:gridCol w:w="211"/>
        <w:gridCol w:w="616"/>
        <w:gridCol w:w="109"/>
        <w:gridCol w:w="211"/>
        <w:gridCol w:w="766"/>
        <w:gridCol w:w="109"/>
        <w:gridCol w:w="109"/>
        <w:gridCol w:w="109"/>
        <w:gridCol w:w="109"/>
        <w:gridCol w:w="211"/>
        <w:gridCol w:w="766"/>
        <w:gridCol w:w="109"/>
        <w:gridCol w:w="109"/>
        <w:gridCol w:w="401"/>
      </w:tblGrid>
      <w:tr>
        <w:tc>
          <w:tcPr>
            <w:tcW w:w="1340"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108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4848" w:type="dxa"/>
            <w:gridSpan w:val="18"/>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510" w:type="dxa"/>
            <w:gridSpan w:val="2"/>
            <w:tcBorders/>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Industrial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retail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revenues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8913" w:type="dxa"/>
        <w:jc w:val="left"/>
        <w:tblInd w:w="0" w:type="dxa"/>
        <w:tblLayout w:type="fixed"/>
        <w:tblCellMar>
          <w:top w:w="28" w:type="dxa"/>
          <w:left w:w="28" w:type="dxa"/>
          <w:bottom w:w="28" w:type="dxa"/>
          <w:right w:w="28" w:type="dxa"/>
        </w:tblCellMar>
      </w:tblPr>
      <w:tblGrid>
        <w:gridCol w:w="1342"/>
        <w:gridCol w:w="1179"/>
        <w:gridCol w:w="1184"/>
        <w:gridCol w:w="211"/>
        <w:gridCol w:w="616"/>
        <w:gridCol w:w="109"/>
        <w:gridCol w:w="109"/>
        <w:gridCol w:w="109"/>
        <w:gridCol w:w="109"/>
        <w:gridCol w:w="211"/>
        <w:gridCol w:w="616"/>
        <w:gridCol w:w="109"/>
        <w:gridCol w:w="211"/>
        <w:gridCol w:w="766"/>
        <w:gridCol w:w="109"/>
        <w:gridCol w:w="109"/>
        <w:gridCol w:w="109"/>
        <w:gridCol w:w="109"/>
        <w:gridCol w:w="211"/>
        <w:gridCol w:w="766"/>
        <w:gridCol w:w="109"/>
        <w:gridCol w:w="109"/>
        <w:gridCol w:w="401"/>
      </w:tblGrid>
      <w:tr>
        <w:tc>
          <w:tcPr>
            <w:tcW w:w="134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9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4698" w:type="dxa"/>
            <w:gridSpan w:val="18"/>
            <w:tcBorders/>
            <w:tcMar>
              <w:top w:w="0" w:type="dxa"/>
              <w:left w:w="0" w:type="dxa"/>
              <w:bottom w:w="0" w:type="dxa"/>
              <w:right w:w="0" w:type="dxa"/>
            </w:tcMar>
            <w:vAlign w:val="center"/>
          </w:tcPr>
          <w:p>
            <w:pPr>
              <w:pStyle w:val="TableContents"/>
              <w:bidi w:val="0"/>
              <w:spacing w:lineRule="auto" w:line="240" w:before="0" w:after="283"/>
              <w:ind w:left="0" w:right="0" w:firstLine="180"/>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510" w:type="dxa"/>
            <w:gridSpan w:val="2"/>
            <w:tcBorders/>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Commercial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Industrial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retail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270"/>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Wholesale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Transmission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ind w:left="0" w:right="0" w:firstLine="180"/>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revenue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revenues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c>
          <w:tcPr>
            <w:tcW w:w="3705"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revenues</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688.6 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Large Load Customers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2026, the Evergy Companies signed electric service agreements (ESAs) with multiple large load customers to serve data centers with a projected peak steady state load of approximately 2,600 MWs. The ESAs relate to three new projects and the expansion of two separate projects previously announced. The ESAs’ terms reflect the applicable provisions of the Evergy Companies’ Large Load Power Service (LLPS) rate plans. The service of these large load customers, inclusive of an optional transitional load period not to exceed five years, has commenced or is expected to commence at dates ranging from 2026 to 2028.</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Most of the Evergy Companies’ retail contracts are on demand, with customer bills that vary each month based on an approved tariff and usage. Certain commercial and industrial retail customers, primarily large load customers with expected load in excess of 75 MWs, have agreements that require a minimum amount of consideration to be paid through the end of a contract term longer than one year. The aggregate amount of the remaining contractual minimum consideration for these large load customer contracts and their weighted average remaining terms are detailed in the following table. </w:t>
      </w:r>
    </w:p>
    <w:tbl>
      <w:tblPr>
        <w:tblW w:w="9071" w:type="dxa"/>
        <w:jc w:val="left"/>
        <w:tblInd w:w="0" w:type="dxa"/>
        <w:tblLayout w:type="fixed"/>
        <w:tblCellMar>
          <w:top w:w="28" w:type="dxa"/>
          <w:left w:w="28" w:type="dxa"/>
          <w:bottom w:w="28" w:type="dxa"/>
          <w:right w:w="28" w:type="dxa"/>
        </w:tblCellMar>
      </w:tblPr>
      <w:tblGrid>
        <w:gridCol w:w="712"/>
        <w:gridCol w:w="625"/>
        <w:gridCol w:w="627"/>
        <w:gridCol w:w="1114"/>
        <w:gridCol w:w="1114"/>
        <w:gridCol w:w="1117"/>
        <w:gridCol w:w="109"/>
        <w:gridCol w:w="109"/>
        <w:gridCol w:w="109"/>
        <w:gridCol w:w="940"/>
        <w:gridCol w:w="1809"/>
        <w:gridCol w:w="686"/>
      </w:tblGrid>
      <w:t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c>
          <w:tcPr>
            <w:tcW w:w="334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Weighted Average Remaining Term</w:t>
            </w:r>
            <w:r>
              <w:rPr>
                <w:rFonts w:ascii="Times New Roman;serif" w:hAnsi="Times New Roman;serif"/>
                <w:b/>
                <w:color w:val="000000"/>
                <w:sz w:val="13"/>
              </w:rPr>
              <w:t>(a)</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Remaining Performance Obligations</w:t>
            </w:r>
            <w:r>
              <w:rPr>
                <w:rFonts w:ascii="Times New Roman;serif" w:hAnsi="Times New Roman;serif"/>
                <w:b/>
                <w:color w:val="000000"/>
                <w:sz w:val="13"/>
              </w:rPr>
              <w:t>(b)</w:t>
            </w:r>
          </w:p>
        </w:tc>
      </w:tr>
      <w:tr>
        <w:tc>
          <w:tcPr>
            <w:tcW w:w="1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(billions)</w:t>
            </w:r>
          </w:p>
        </w:tc>
      </w:tr>
      <w:t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334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9"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8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964"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pPr>
      <w:r>
        <w:rPr>
          <w:rFonts w:ascii="Times New Roman;serif" w:hAnsi="Times New Roman;serif"/>
          <w:b w:val="false"/>
          <w:color w:val="000000"/>
          <w:sz w:val="12"/>
        </w:rPr>
        <w:t xml:space="preserve">(a) </w:t>
      </w:r>
      <w:r>
        <w:rPr>
          <w:rFonts w:ascii="Times New Roman;serif" w:hAnsi="Times New Roman;serif"/>
          <w:b w:val="false"/>
          <w:color w:val="000000"/>
          <w:sz w:val="18"/>
        </w:rPr>
        <w:t xml:space="preserve">The remaining contractual term begins with the start of service for these customers and the weighted average remaining term is based on each contract's remaining performance obligations. </w:t>
      </w:r>
    </w:p>
    <w:p>
      <w:pPr>
        <w:pStyle w:val="TextBody"/>
        <w:bidi w:val="0"/>
        <w:spacing w:lineRule="auto" w:line="288" w:before="0" w:after="120"/>
        <w:ind w:left="0" w:right="0" w:hanging="180"/>
        <w:jc w:val="left"/>
      </w:pPr>
      <w:r>
        <w:rPr>
          <w:rFonts w:ascii="Times New Roman;serif" w:hAnsi="Times New Roman;serif"/>
          <w:b w:val="false"/>
          <w:color w:val="000000"/>
          <w:sz w:val="12"/>
        </w:rPr>
        <w:t xml:space="preserve">(b) </w:t>
      </w:r>
      <w:r>
        <w:rPr>
          <w:rFonts w:ascii="Times New Roman;serif" w:hAnsi="Times New Roman;serif"/>
          <w:b w:val="false"/>
          <w:color w:val="000000"/>
          <w:sz w:val="18"/>
        </w:rPr>
        <w:t xml:space="preserve">Remaining performance obligations are estimates based on: (i) contractual minimum amounts that typically equal 80% of customers' expected annual capacity demand and exclude potential volume-based charges such as fuel cost recoveries and (ii) current large load customer rates in effect and do not include any potential changes in these rates in future years as a result of general rate cases. </w:t>
      </w:r>
    </w:p>
    <w:p>
      <w:pPr>
        <w:pStyle w:val="TextBody"/>
        <w:bidi w:val="0"/>
        <w:spacing w:before="0" w:after="240"/>
        <w:jc w:val="left"/>
      </w:pPr>
      <w:r/>
    </w:p>
    <w:p>
      <w:pPr>
        <w:pStyle w:val="TextBody"/>
        <w:bidi w:val="0"/>
        <w:spacing w:before="0" w:after="2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3. RECEIVABLES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Evergy Companies' receivables are detailed in the following table.</w:t>
      </w:r>
    </w:p>
    <w:tbl>
      <w:tblPr>
        <w:tblW w:w="6561" w:type="dxa"/>
        <w:jc w:val="left"/>
        <w:tblInd w:w="0" w:type="dxa"/>
        <w:tblLayout w:type="fixed"/>
        <w:tblCellMar>
          <w:top w:w="28" w:type="dxa"/>
          <w:left w:w="28" w:type="dxa"/>
          <w:bottom w:w="28" w:type="dxa"/>
          <w:right w:w="28" w:type="dxa"/>
        </w:tblCellMar>
      </w:tblPr>
      <w:tblGrid>
        <w:gridCol w:w="1227"/>
        <w:gridCol w:w="1076"/>
        <w:gridCol w:w="1086"/>
        <w:gridCol w:w="109"/>
        <w:gridCol w:w="109"/>
        <w:gridCol w:w="109"/>
        <w:gridCol w:w="283"/>
        <w:gridCol w:w="829"/>
        <w:gridCol w:w="147"/>
        <w:gridCol w:w="109"/>
        <w:gridCol w:w="109"/>
        <w:gridCol w:w="109"/>
        <w:gridCol w:w="270"/>
        <w:gridCol w:w="790"/>
        <w:gridCol w:w="199"/>
      </w:tblGrid>
      <w:tr>
        <w:tc>
          <w:tcPr>
            <w:tcW w:w="122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c>
          <w:tcPr>
            <w:tcW w:w="3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c>
          <w:tcPr>
            <w:tcW w:w="33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billed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unbilled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billed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unbilled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billed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accounts receivable - unbilled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8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4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9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other receivables as of September 30, 2026, and December 31, 2025, consisted primarily of receivables from partners in jointly-owned electric utility plants, wholesale sales receivables and receivables related to alternative revenue programs.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Evergy Companies' other receivables also included receivables from contracts with customers as summarized in the following table.</w:t>
      </w:r>
    </w:p>
    <w:tbl>
      <w:tblPr>
        <w:tblW w:w="5463" w:type="dxa"/>
        <w:jc w:val="center"/>
        <w:tblInd w:w="0" w:type="dxa"/>
        <w:tblLayout w:type="fixed"/>
        <w:tblCellMar>
          <w:top w:w="28" w:type="dxa"/>
          <w:left w:w="28" w:type="dxa"/>
          <w:bottom w:w="28" w:type="dxa"/>
          <w:right w:w="28" w:type="dxa"/>
        </w:tblCellMar>
      </w:tblPr>
      <w:tblGrid>
        <w:gridCol w:w="708"/>
        <w:gridCol w:w="624"/>
        <w:gridCol w:w="632"/>
        <w:gridCol w:w="319"/>
        <w:gridCol w:w="774"/>
        <w:gridCol w:w="166"/>
        <w:gridCol w:w="109"/>
        <w:gridCol w:w="109"/>
        <w:gridCol w:w="109"/>
        <w:gridCol w:w="308"/>
        <w:gridCol w:w="746"/>
        <w:gridCol w:w="160"/>
        <w:gridCol w:w="109"/>
        <w:gridCol w:w="109"/>
        <w:gridCol w:w="109"/>
        <w:gridCol w:w="109"/>
        <w:gridCol w:w="109"/>
        <w:gridCol w:w="154"/>
      </w:tblGrid>
      <w:tr>
        <w:tc>
          <w:tcPr>
            <w:tcW w:w="7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9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1093"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6"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0"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change in the Evergy Companies' allowance for credit losses is summarized in the following table.</w:t>
      </w:r>
    </w:p>
    <w:tbl>
      <w:tblPr>
        <w:tblW w:w="4583" w:type="dxa"/>
        <w:jc w:val="left"/>
        <w:tblInd w:w="0" w:type="dxa"/>
        <w:tblLayout w:type="fixed"/>
        <w:tblCellMar>
          <w:top w:w="28" w:type="dxa"/>
          <w:left w:w="28" w:type="dxa"/>
          <w:bottom w:w="28" w:type="dxa"/>
          <w:right w:w="28" w:type="dxa"/>
        </w:tblCellMar>
      </w:tblPr>
      <w:tblGrid>
        <w:gridCol w:w="921"/>
        <w:gridCol w:w="810"/>
        <w:gridCol w:w="818"/>
        <w:gridCol w:w="211"/>
        <w:gridCol w:w="511"/>
        <w:gridCol w:w="109"/>
        <w:gridCol w:w="109"/>
        <w:gridCol w:w="109"/>
        <w:gridCol w:w="109"/>
        <w:gridCol w:w="211"/>
        <w:gridCol w:w="511"/>
        <w:gridCol w:w="154"/>
      </w:tblGrid>
      <w:t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034"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prior write-offs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September 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prior write-offs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September 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 expense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of prior write-offs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September 30</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Sale of Accounts Receivable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Evergy Kansas Central, Evergy Metro and Evergy Missouri West sell an undivided percentage ownership interest in their retail electric accounts receivable to independent outside investors. These sales are accounted for as secured borrowings with accounts receivable pledged as collateral and a corresponding short-term collateralized note payable recognized on the balance sheets.  The following table summarizes the receivable sale facilities, each of which expire in April 2028. </w:t>
      </w:r>
    </w:p>
    <w:tbl>
      <w:tblPr>
        <w:tblW w:w="10126" w:type="dxa"/>
        <w:jc w:val="left"/>
        <w:tblInd w:w="0" w:type="dxa"/>
        <w:tblLayout w:type="fixed"/>
        <w:tblCellMar>
          <w:top w:w="28" w:type="dxa"/>
          <w:left w:w="28" w:type="dxa"/>
          <w:bottom w:w="28" w:type="dxa"/>
          <w:right w:w="28" w:type="dxa"/>
        </w:tblCellMar>
      </w:tblPr>
      <w:tblGrid>
        <w:gridCol w:w="712"/>
        <w:gridCol w:w="625"/>
        <w:gridCol w:w="627"/>
        <w:gridCol w:w="427"/>
        <w:gridCol w:w="1253"/>
        <w:gridCol w:w="224"/>
        <w:gridCol w:w="109"/>
        <w:gridCol w:w="109"/>
        <w:gridCol w:w="109"/>
        <w:gridCol w:w="682"/>
        <w:gridCol w:w="1994"/>
        <w:gridCol w:w="354"/>
        <w:gridCol w:w="109"/>
        <w:gridCol w:w="109"/>
        <w:gridCol w:w="109"/>
        <w:gridCol w:w="422"/>
        <w:gridCol w:w="1234"/>
        <w:gridCol w:w="219"/>
        <w:gridCol w:w="109"/>
        <w:gridCol w:w="109"/>
        <w:gridCol w:w="109"/>
        <w:gridCol w:w="109"/>
        <w:gridCol w:w="109"/>
        <w:gridCol w:w="154"/>
      </w:tblGrid>
      <w:t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Committed Capacity </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Additional Conditional Capacity</w:t>
            </w:r>
            <w:r>
              <w:rPr>
                <w:rFonts w:ascii="Times New Roman;serif" w:hAnsi="Times New Roman;serif"/>
                <w:b/>
                <w:color w:val="000000"/>
                <w:sz w:val="13"/>
              </w:rPr>
              <w:t>(a)</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Current Borrowings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c>
          <w:tcPr>
            <w:tcW w:w="7463"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Evergy Missouri West </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Missouri West</w:t>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4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2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21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180"/>
        <w:jc w:val="left"/>
      </w:pPr>
      <w:r>
        <w:rPr>
          <w:rFonts w:ascii="Times New Roman;serif" w:hAnsi="Times New Roman;serif"/>
          <w:b w:val="false"/>
          <w:color w:val="000000"/>
          <w:sz w:val="12"/>
        </w:rPr>
        <w:t xml:space="preserve">(a) </w:t>
      </w:r>
      <w:r>
        <w:rPr>
          <w:rFonts w:ascii="Times New Roman;serif" w:hAnsi="Times New Roman;serif"/>
          <w:b w:val="false"/>
          <w:color w:val="000000"/>
          <w:sz w:val="18"/>
        </w:rPr>
        <w:t xml:space="preserve">To the extent Evergy Kansas Central, Evergy Metro and Evergy Missouri West have qualifying accounts receivable and subject to the lender's discretion, the cash receivable facilities permit additional borrowing capacity in excess of committed capacity. </w:t>
      </w:r>
    </w:p>
    <w:p>
      <w:pPr>
        <w:pStyle w:val="TextBody"/>
        <w:bidi w:val="0"/>
        <w:spacing w:before="0" w:after="0"/>
        <w:jc w:val="left"/>
      </w:pPr>
      <w:r/>
    </w:p>
    <w:p>
      <w:pPr>
        <w:pStyle w:val="TextBody"/>
        <w:bidi w:val="0"/>
        <w:spacing w:before="100" w:after="240"/>
        <w:jc w:val="center"/>
      </w:pPr>
      <w:r/>
    </w:p>
    <w:p>
      <w:pPr>
        <w:pStyle w:val="TextBody"/>
        <w:bidi w:val="0"/>
        <w:spacing w:before="0" w:after="2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4. RATE MATTERS AND REGULATION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State Corporation Commission of the State of Kansas (KCC) Proceedings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Earnings Review and Sharing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As part of the settlement agreement in Evergy Kansas Central's 2025 KCC rate case, Evergy Kansas Central agreed to participate in an earnings review surveillance report for each calendar year beginning 2025 through the time Evergy Kansas Central files its next general rate case and new base rates become effective as a result of that case. Under this mechanism, Evergy Kansas Central’s jurisdiction is required to refund customers 50% of annual earnings in excess of a 9.7% return on equity.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 filed its 2025 earnings calculation with the KCC in March 2026, which reflected no refund obligation. In July 2026, the KCC issued an order accepting Evergy Kansas Central's 2025 earnings calculation and determined that there was no refund obligation for 2025. As of September 30, 2026, Evergy Kansas Central estimates its 2026 earnings will not result in a refund obligation. The final refund obligation for 2026 will be decided by the KCC and could vary from current estimates.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Evergy Kansas Central 2026 Transmission Delivery Charge (TDC)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March 2026, the KCC issued an order adjusting Evergy Kansas Central's retail prices to include updated transmission costs as reflected in the Federal Energy Regulatory Commission (FERC) transmission formula rate (TFR). The new prices became effective in May 2026 and are expected to increase Evergy Kansas Central's annual retail revenues by $16.8 million when compared to 2025.</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Evergy Metro 2026 Transmission Delivery Charge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March 2026, the KCC issued an order adjusting Evergy Metro's retail prices to include updated transmission costs as reflected in the FERC TFR. The new prices became effective in May 2026 and are expected to decrease Evergy Metro's annual retail revenues by $4.3 million when compared to 2025.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Applications for Predetermination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KCC uses a process referred to as 'predetermination' to establish ratemaking principles and treatments for certain utility investments before they are included in a utility's rate base. The process helps balance the interests of utilities and customers by ensuring broad agreement on the reasonableness of the investment and regulatory certainty regarding the recovery of costs associated with the investment. Investment in utility projects is dependent on acceptable regulatory treatment determined in the predetermination process.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In September 2026, Evergy Kansas Central and Evergy Metro filed an application with the KCC requesting predetermination for certain planned generation investments. The filing requests a determination of the ratemaking principles and treatment that would apply to the following proposed portfolio of generation resources, with a KCC order expected in April 2027: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Buchanan Bluffs Energy Center Unit 1, a 710 MW CCGT electric generating facility to be located in Buchanan County, Missouri. The facility is proposed to be wholly-owned by Evergy Kansas Central and is expected to begin operations in 2031;</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Iron Horse Solar, a 200 MW solar generating facility, and Iron Horse Storage, a 200 MW four-hour battery energy storage system (BESS), both to be located in Labette County, Kansas. The facilities are proposed to be jointly-owned by Evergy Kansas Central and Evergy Metro, with each utility owning a 50% interest. Iron Horse Solar is expected to begin operations in 2028 and Iron Horse Storage is expected to begin operations in 2029;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 xml:space="preserve">Pixley II Hybrid, a combined facility consisting of a 120 MW solar generating facility and a 120 MW four-hour BESS, in addition to Pixley Storage, a 95 MW four-hour BESS, all to be located in Barber County, Kansas. These facilities are proposed to be wholly-owned by Evergy Kansas Central and are expected to begin operations in 2028. </w:t>
      </w:r>
    </w:p>
    <w:p>
      <w:pPr>
        <w:pStyle w:val="TextBody"/>
        <w:bidi w:val="0"/>
        <w:spacing w:before="0" w:after="24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Large Load Power Service Customer Affordability Enhancement Plan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October 2026, Evergy Kansas Central and Evergy Metro filed an application with the KCC requesting approval of a Customer Affordability Enhancement Plan that supplements the existing LLPS rate plan and would apply to newly signed LLPS customers. The proposed plan preserves the existing LLPS rate plan as the governing framework for qualifying large load customers and further distinguishes the cost responsibility of future large load customers. Evergy Kansas Central and Evergy Metro requested expedited treatment of the application and that the KCC issue an order in February 2027.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Public Service Commission of the State of Missouri (MPSC) Proceedings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Evergy Missouri West's 2026 Rate Case Proceeding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November 2026, Evergy Missouri West filed an application with the MPSC to request an increase to its retail revenues of approximately $229.5 million. The requested increase was approximately $182.6 million before rebasing fuel and purchased power expense and $137.8 million when also excluding the removal of certain regulatory amortizations. Evergy Missouri West's request reflected a return on equity of 10.25% (with a capital structure composed of 52% equity) and increases related to the recovery of solar and infrastructure investments made to improve reliability and enhance customer service, and financing costs associated with natural gas plants under construction, partially offset by new large load revenues. New rates are expected to be effective in October 2027.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Evergy Metro's 2026 Rate Case Proceeding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February 2026, Evergy Metro filed an application with the MPSC to request an increase to its retail revenues of approximately $140 million. Evergy Metro's request reflected a return on equity of 10.5% (with a capital structure composed of 52% equity) and increases related to the recovery of infrastructure investments made to improve reliability and enhance customer service and the update of expenses to current levels of spend. In October 2026, an evidentiary hearing on the case occurred and partial stipulations and agreements were reached on certain issues in the case. Several issues remain outstanding and an order is expected from the MPSC before the end of 2026, with new rates expected to be effective in January 2027.</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Requests for Certificate of Convenience and Necessity (CCN)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Missouri utilities must request a CCN from the MPSC to authorize them to build certain utility projects. The CCN process authorizes utilities to build projects and can provide assurance that the project is prudent and necessary. Investment in projects is dependent upon the granting by the MPSC of a CCN with reasonably acceptable terms. </w:t>
      </w:r>
    </w:p>
    <w:p>
      <w:pPr>
        <w:pStyle w:val="TextBody"/>
        <w:bidi w:val="0"/>
        <w:spacing w:before="0" w:after="0"/>
        <w:jc w:val="left"/>
      </w:pPr>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May 2026, Evergy Metro filed an application with the MPSC for a CCN related to its planned natural gas generation investment to construct Mullin Creek Unit 2, a 440 MW simple-cycle gas turbine (SCGT) electric generating facility to be located in Nodaway County, Missouri. In October 2026, Evergy Metro, the MPSC Staff and certain intervenors filed a non-unanimous stipulation and agreement resolving all pending issues in the proceeding and recommending MPSC approval of the CCN. The stipulation and agreement remains subject to approval by the MPSC. In its application, Evergy Metro requested an order from the MPSC by December 2026. The facility is proposed to be wholly-owned by Evergy Metro and is expected to begin operations in 2030.</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August 2026, Evergy Missouri West and Evergy Metro filed an application with the MPSC requesting CCNs to construct Buchanan Bluffs Energy Center Unit 2, an approximately 710 MW combined-cycle gas turbine (CCGT) electric generating facility to be located in Buchanan County, Missouri. The facility is proposed to be jointly-owned by Evergy Missouri West and Evergy Metro, with each utility owning a 50% interest. The facility is expected to begin operations in 2032. The application also requests a CCN to construct the Foxtrot BESS, an approximately 109 MW four-hour lithium-ion battery facility to be located in Jasper County, Missouri. The BESS is proposed to be wholly-owned by Evergy Missouri West and is expected to begin operations in 2028. In their application, Evergy Missouri West and Evergy Metro requested that the MPSC issue an order by April 2027.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FERC Proceedings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Evergy Kansas Central and Evergy Metro TFR Annual Update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Each year, Evergy Kansas Central and Evergy Metro post an updated TFR that includes projected transmission capital expenditures and operating costs for the following year. This rate is the most significant component in the retail rate calculation for Evergy Kansas Central's and Evergy Metro's annual request with the KCC to adjust retail prices to include updated transmission costs through the TDC.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most recently updated TFR is expected to increase Evergy Kansas Central's annual transmission revenues by approximately $37.0 million and increase Evergy Metro's annual transmission revenues by approximately $14.4 million, effective in January 2027.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Evergy Kansas Central TFR Formal Complaint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February 2023, certain Evergy Kansas Central TFR customers submitted a formal complaint with FERC requesting the refund of over-collections related to the capital structure calculation in determining Evergy Kansas Central's Annual Transmission Revenue Requirement for the 2018 and 2019 rate years. In September 2026, a settlement agreement was filed with FERC, subject to FERC approval, that would resolve the complaint and related proceedings. Under the proposed settlement agreement, Evergy Kansas Central would make a one-time payment of $2.5 million to be distributed amongst certain TFR customers, after which the complaint would be withdrawn with prejudice. As of September 30, 2026, and December 31, 2025, Evergy and Evergy Kansas Central had recorded a regulatory liability of $2.5 million and $9.7 million, respectively, related to the 2018 and 2019 rate year refund request. Evergy and Evergy Kansas Central are awaiting FERC approval of the proposed settlement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5. GOODWILL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GAAP requires goodwill to be tested for impairment annually and when an event occurs indicating the possibility that an impairment exists. Evergy's impairment test for the $2,336.6 million of goodwill that was recorded as a result of the merger that created Evergy was conducted as of May 1, 2026.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6. PENSION PLANS AND POST-RETIREMENT BENEFITS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Evergy and its subsidiaries also provide certain post-retirement health care and life insurance benefits for substantially all retired employees of Evergy Kansas Central and Evergy Metro and their respective shares of Wolf Creek Generating Station's (Wolf Creek) post-retirement benefit plans.</w:t>
      </w:r>
    </w:p>
    <w:p>
      <w:pPr>
        <w:pStyle w:val="TextBody"/>
        <w:bidi w:val="0"/>
        <w:spacing w:lineRule="auto" w:line="288" w:before="24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record pension and post-retirement expense in accordance with rate orders from the KCC and MPSC that allow the difference between pension and post-retirement costs under GAAP and costs for ratemaking to be recognized as a regulatory asset or liability.  This difference between financial and regulatory accounting methods is due to timing and will be eliminated over the life of the plans.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tables provide the components of net periodic benefit costs prior to the effects of capitalization and sharing with joint owners of power plants. </w:t>
      </w:r>
    </w:p>
    <w:tbl>
      <w:tblPr>
        <w:tblW w:w="9491" w:type="dxa"/>
        <w:jc w:val="left"/>
        <w:tblInd w:w="0" w:type="dxa"/>
        <w:tblLayout w:type="fixed"/>
        <w:tblCellMar>
          <w:top w:w="28" w:type="dxa"/>
          <w:left w:w="28" w:type="dxa"/>
          <w:bottom w:w="28" w:type="dxa"/>
          <w:right w:w="28" w:type="dxa"/>
        </w:tblCellMar>
      </w:tblPr>
      <w:tblGrid>
        <w:gridCol w:w="1743"/>
        <w:gridCol w:w="1530"/>
        <w:gridCol w:w="1541"/>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4"/>
      </w:tblGrid>
      <w:tr>
        <w:tc>
          <w:tcPr>
            <w:tcW w:w="1743"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benefit costs before regulatory adjustment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c>
          <w:tcPr>
            <w:tcW w:w="4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periodic benefit income before regulatory adjustment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c>
          <w:tcPr>
            <w:tcW w:w="481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w:t>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162"/>
        <w:gridCol w:w="1727"/>
        <w:gridCol w:w="1732"/>
        <w:gridCol w:w="109"/>
        <w:gridCol w:w="109"/>
        <w:gridCol w:w="109"/>
        <w:gridCol w:w="211"/>
        <w:gridCol w:w="464"/>
        <w:gridCol w:w="109"/>
        <w:gridCol w:w="109"/>
        <w:gridCol w:w="109"/>
        <w:gridCol w:w="109"/>
        <w:gridCol w:w="211"/>
        <w:gridCol w:w="464"/>
        <w:gridCol w:w="109"/>
        <w:gridCol w:w="109"/>
        <w:gridCol w:w="109"/>
        <w:gridCol w:w="109"/>
        <w:gridCol w:w="211"/>
        <w:gridCol w:w="511"/>
        <w:gridCol w:w="109"/>
        <w:gridCol w:w="109"/>
        <w:gridCol w:w="109"/>
        <w:gridCol w:w="109"/>
        <w:gridCol w:w="211"/>
        <w:gridCol w:w="511"/>
        <w:gridCol w:w="155"/>
      </w:tblGrid>
      <w:tr>
        <w:tc>
          <w:tcPr>
            <w:tcW w:w="2162"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5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5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 before regulatory adjustment and 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r>
      <w:t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 before regulatory adjustment and 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1"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106"/>
        <w:gridCol w:w="1774"/>
        <w:gridCol w:w="1740"/>
        <w:gridCol w:w="109"/>
        <w:gridCol w:w="109"/>
        <w:gridCol w:w="109"/>
        <w:gridCol w:w="211"/>
        <w:gridCol w:w="464"/>
        <w:gridCol w:w="109"/>
        <w:gridCol w:w="109"/>
        <w:gridCol w:w="109"/>
        <w:gridCol w:w="109"/>
        <w:gridCol w:w="211"/>
        <w:gridCol w:w="464"/>
        <w:gridCol w:w="109"/>
        <w:gridCol w:w="109"/>
        <w:gridCol w:w="109"/>
        <w:gridCol w:w="109"/>
        <w:gridCol w:w="211"/>
        <w:gridCol w:w="511"/>
        <w:gridCol w:w="109"/>
        <w:gridCol w:w="109"/>
        <w:gridCol w:w="109"/>
        <w:gridCol w:w="109"/>
        <w:gridCol w:w="211"/>
        <w:gridCol w:w="511"/>
        <w:gridCol w:w="156"/>
      </w:tblGrid>
      <w:tr>
        <w:tc>
          <w:tcPr>
            <w:tcW w:w="2106"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Components of net periodic benefit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 before regulatory adjustment and intercompany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allocations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costs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 before regulatory adjustment and 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Regulatory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Intercompany allocations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20"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income</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components of net periodic benefit costs other than the service cost component are included in other expense on the Evergy Companies' consolidated statements of income and comprehensive income.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Expected pension contributions are intended to satisfy the Employee Retirement Income Security Act of 1974, as amended (ERISA), funding requirements and KCC and MPSC rate orders. The following table summarizes the Evergy Companies' pension and post-retirement benefit plan contributions and expected contributions in 2026. </w:t>
      </w:r>
    </w:p>
    <w:tbl>
      <w:tblPr>
        <w:tblW w:w="9554" w:type="dxa"/>
        <w:jc w:val="left"/>
        <w:tblInd w:w="0" w:type="dxa"/>
        <w:tblLayout w:type="fixed"/>
        <w:tblCellMar>
          <w:top w:w="28" w:type="dxa"/>
          <w:left w:w="28" w:type="dxa"/>
          <w:bottom w:w="28" w:type="dxa"/>
          <w:right w:w="28" w:type="dxa"/>
        </w:tblCellMar>
      </w:tblPr>
      <w:tblGrid>
        <w:gridCol w:w="1664"/>
        <w:gridCol w:w="1461"/>
        <w:gridCol w:w="1465"/>
        <w:gridCol w:w="211"/>
        <w:gridCol w:w="511"/>
        <w:gridCol w:w="109"/>
        <w:gridCol w:w="109"/>
        <w:gridCol w:w="109"/>
        <w:gridCol w:w="109"/>
        <w:gridCol w:w="529"/>
        <w:gridCol w:w="1282"/>
        <w:gridCol w:w="273"/>
        <w:gridCol w:w="109"/>
        <w:gridCol w:w="109"/>
        <w:gridCol w:w="109"/>
        <w:gridCol w:w="336"/>
        <w:gridCol w:w="814"/>
        <w:gridCol w:w="245"/>
      </w:tblGrid>
      <w:tr>
        <w:tc>
          <w:tcPr>
            <w:tcW w:w="166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c>
          <w:tcPr>
            <w:tcW w:w="45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Evergy </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Evergy Metro </w:t>
            </w:r>
          </w:p>
        </w:tc>
      </w:tr>
      <w:tr>
        <w:tc>
          <w:tcPr>
            <w:tcW w:w="45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Benefit Plan Contributions</w:t>
            </w:r>
          </w:p>
        </w:tc>
        <w:tc>
          <w:tcPr>
            <w:tcW w:w="496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made through September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estimated contributions to be made in 2026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Post-Retirement Benefit Plan Contributions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made through September 2026</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9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estimated contributions to be made in 2026</w:t>
            </w:r>
          </w:p>
        </w:tc>
        <w:tc>
          <w:tcPr>
            <w:tcW w:w="72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5"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7. SHORT-TERM BORROWINGS AND SHORT-TERM BANK LINES OF CREDIT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June 2026, Evergy entered into a $3.5 billion master credit facility which expires in June 2031. Evergy, Inc.,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The applicable interest rates and commitment fees of the facility are also subject to changes in ratings by the credit rating agencies.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 default by any borrower under the facility or one of its significant subsidiaries on other indebtedness totaling more than $150.0 million constitutes a default under the facility. Under the terms of this facility, at all times, Evergy, Inc. is required to maintain a total indebtedness to total capitalization ratio, as defined in the facility, of not greater than 0.675 to 1.00 and Evergy Kansas Central, Evergy Metro and Evergy Missouri West are each required to maintain a total indebtedness to total capitalization ratio of not greater than 0.65 to 1.00. As of September 30, 2026, Evergy, Inc., Evergy Kansas Central, Evergy Metro and Evergy Missouri West were in compliance with these covenants.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June 2026, contemporaneously with the entry into the new master credit facility, Evergy, Inc., Evergy Kansas Central, Evergy Metro and Evergy Missouri West terminated their existing $2.5 billion master credit facility.</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committed credit facilities available to the Evergy Companies as of September 30, 2026, and December 31, 2025 (excluding receivable sale facilities discussed in Note 3 and Term Loan Credit Agreements discussed below).</w:t>
      </w:r>
    </w:p>
    <w:tbl>
      <w:tblPr>
        <w:tblW w:w="10205" w:type="dxa"/>
        <w:jc w:val="center"/>
        <w:tblInd w:w="0" w:type="dxa"/>
        <w:tblLayout w:type="fixed"/>
        <w:tblCellMar>
          <w:top w:w="28" w:type="dxa"/>
          <w:left w:w="28" w:type="dxa"/>
          <w:bottom w:w="28" w:type="dxa"/>
          <w:right w:w="28" w:type="dxa"/>
        </w:tblCellMar>
      </w:tblPr>
      <w:tblGrid>
        <w:gridCol w:w="457"/>
        <w:gridCol w:w="402"/>
        <w:gridCol w:w="403"/>
        <w:gridCol w:w="256"/>
        <w:gridCol w:w="930"/>
        <w:gridCol w:w="132"/>
        <w:gridCol w:w="254"/>
        <w:gridCol w:w="925"/>
        <w:gridCol w:w="133"/>
        <w:gridCol w:w="254"/>
        <w:gridCol w:w="616"/>
        <w:gridCol w:w="131"/>
        <w:gridCol w:w="356"/>
        <w:gridCol w:w="687"/>
        <w:gridCol w:w="185"/>
        <w:gridCol w:w="298"/>
        <w:gridCol w:w="1087"/>
        <w:gridCol w:w="156"/>
        <w:gridCol w:w="109"/>
        <w:gridCol w:w="109"/>
        <w:gridCol w:w="109"/>
        <w:gridCol w:w="645"/>
        <w:gridCol w:w="645"/>
        <w:gridCol w:w="926"/>
      </w:tblGrid>
      <w:t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c>
          <w:tcPr>
            <w:tcW w:w="12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Amounts Drawn</w:t>
            </w:r>
          </w:p>
        </w:tc>
        <w:tc>
          <w:tcPr>
            <w:tcW w:w="15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Master Credit Facility</w:t>
            </w:r>
          </w:p>
        </w:tc>
        <w:tc>
          <w:tcPr>
            <w:tcW w:w="13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 Paper</w:t>
            </w:r>
          </w:p>
        </w:tc>
        <w:tc>
          <w:tcPr>
            <w:tcW w:w="10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Letters of Credit</w:t>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Cash Borrowings</w:t>
            </w:r>
          </w:p>
        </w:tc>
        <w:tc>
          <w:tcPr>
            <w:tcW w:w="1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Available Borrowings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Weighted Average Interest Rate on Short-Term Borrowings </w:t>
            </w:r>
          </w:p>
        </w:tc>
      </w:tr>
      <w:tr>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c>
          <w:tcPr>
            <w:tcW w:w="64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Inc.</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4.08%</w:t>
            </w:r>
          </w:p>
        </w:tc>
      </w:tr>
      <w:t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4.09%</w:t>
            </w:r>
          </w:p>
        </w:tc>
      </w:tr>
      <w:t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4.09%</w:t>
            </w:r>
          </w:p>
        </w:tc>
      </w:tr>
      <w:t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Missouri West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4.26%</w:t>
            </w:r>
          </w:p>
        </w:tc>
      </w:tr>
      <w:t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Inc.</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w:t>
            </w:r>
          </w:p>
        </w:tc>
      </w:tr>
      <w:t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3.96%</w:t>
            </w:r>
          </w:p>
        </w:tc>
      </w:tr>
      <w:t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3.85%</w:t>
            </w:r>
          </w:p>
        </w:tc>
      </w:tr>
      <w:t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Missouri West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4.06%</w:t>
            </w:r>
          </w:p>
        </w:tc>
      </w:tr>
      <w:tr>
        <w:tc>
          <w:tcPr>
            <w:tcW w:w="126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3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1,394.0 </w:t>
            </w:r>
          </w:p>
        </w:tc>
        <w:tc>
          <w:tcPr>
            <w:tcW w:w="1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1,102.2 </w:t>
            </w:r>
          </w:p>
        </w:tc>
        <w:tc>
          <w:tcPr>
            <w:tcW w:w="1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January 2026, Evergy, Inc. entered into a $55.0 million unsecured Term Loan Credit Agreement with an expiration date in January 2027. In February 2026, Evergy, Inc. entered into a $500.0 million unsecured Term Loan Credit Agreement with an expiration date in February 2027. Evergy's borrowings under the $500.0 million unsecured Term Loan Credit Agreement were used for, among other things, the repayment in full of all borrowings under the $55.0 million Term Loan Credit Agreement and the partial repurchase of Evergy's convertible notes as further described in Note 8. In August 2026, Evergy used a portion of the proceeds from the issuance of junior subordinated notes, as further described in Note 8, to repay all outstanding borrowings under its $500.0 million unsecured Term Loan Credit Agreement and terminated the agreement without incurring any early termination penalties.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8. LONG-TERM DEBT</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Mortgage Bonds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May 2026, Evergy Missouri West issued, at a discount, $300.0 million of 4.70% First Mortgage Bonds (FMBs) maturing in 2029. Proceeds were used to pay down commercial paper and for general corporate purposes.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July 2026, Evergy Kansas Central issued, at a discount, $350.0 million of 5.30% FMBs, maturing in 2036. Proceeds were used to repay $350.0 million aggregate principal amount of outstanding 2.55% FMBs at maturity in July 2026.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September 2026, Evergy Missouri West issued, at a discount, $300.0 million of 5.95% FMBs maturing in 2036. Proceeds were used to pay down commercial paper and for general corporate purposes.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September 2026, Evergy Kansas Central issued, at a discount, $350.0 million of 5.60% FMBs maturing in 2034. Proceeds were used to pay down commercial paper and for general corporate purposes.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Pollution Control Bonds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June 2026, Evergy Metro remarketed its Series 2023 Environmental Improvement Revenue Refunding (EIRR) bonds totaling $79.5 million at a fixed rate of 3.375% through June 2031.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March 2026, Evergy, Inc. issued, at a discount, $350.0 million of 4.25% Notes, maturing in 2029. Proceeds were used to pay down commercial paper and for general corporate purposes.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Convertible Notes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December 2023, Evergy, Inc. issued $1.4 billion aggregate principal amount of 4.50% Convertible Notes (Convertible Notes). The Convertible Notes will mature in December 2027, unless earlier converted or repurchased.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January and February 2026, Evergy, Inc. repurchased $244.1 million aggregate principal amount of the Convertible Notes, under separate, privately negotiated repurchase agreements with certain holders of the Convertible Notes, for $309.5 million, including fees and excluding accrued and unpaid interest. The repurchases were funded by Term Loan Credit Agreements executed in January and February 2026, see Note 7 for additional information on the Term Loan Credit Agreements. The repurchases were accounted for as an induced conversion of debt. Evergy recognized a loss of $10.3 million in interest expense on Evergy's consolidated statement of comprehensive income year to date September 30, 2026, which included a $1.8 million inducement loss, a $7.6 million loss on the settlement of an embedded forward contract and $0.9 million in fees. In the first quarter of 2026, Evergy also recognized a $56.9 million reduction of shareholders’ equity related to the settlement of the equity-related conversion obligation under the December 2023 Convertible Notes agreement, which included $1.8 million of unamortized debt issuance costs. After these January and February 2026 repurchases, $1,155.9 million aggregate principal amount of Convertible Notes remain outstanding as of September 30, 2026.</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closing price of Evergy's common stock exceeded 130% of the Convertible Notes' conversion price for at least 20 trading days during the 30 consecutive trading-day periods ending on, and including, the last trading day of the first, second and third quarters of 2026, satisfying the sales price conversion condition for each quarter. As a result, the Convertible Notes were convertible at the option of holders from April 2026 through September 2026 and will continue to be convertible through December 2026. Beginning in September 2027, holders may convert the Convertible Notes at any time, regardless of whether any applicable conversion conditions have been satisfied. Accordingly, the Convertible Notes were classified within current maturities of long-term debt on Evergy's consolidated balance sheet as of September 30, 2026.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Junior Subordinated Notes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August 2026, Evergy, Inc. issued $600.0 million in aggregate principal amount of 6.40% Fixed-to-Fixed Reset Rate Junior Subordinated Notes (Junior Subordinated Notes), maturing in 2057. Proceeds were used to repay outstanding borrowings under Evergy, Inc.'s $500.0 million unsecured Term Loan Credit Agreement and to pay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down commercial paper. The Junior Subordinated Notes will bear interest (i) from and including August 24, 2026 to, but excluding, February 15, 2032 at the rate of 6.40% per annum and (ii) from and including February 15, 2032, during each reset period at a rate per annum equal to the five-year U.S. Treasury rate (determined as described in the offering documents) as of the most recent reset interest determination date plus a spread of 2.022%, to be reset every five years until maturity; provided that the interest rate during any reset period will not reset below 6.40% per annum. At Evergy, Inc.'s option, it may redeem some or all of the Junior Subordinated Notes during specified periods, and upon the occurrence of certain credit ratings, tax or tax credit events, all as described in the offering documents. In accordance with the terms of the Junior Subordinated Notes, Evergy, Inc. has the right, from time to time, to defer the payment of interest on the outstanding Junior Subordinated Notes on one or more occasions for up to 20 consecutive semi-annual interest payment periods. As more fully described in the offering documents, deferring the payment of interest on outstanding Junior Subordinated Notes will restrict Evergy, Inc.'s ability to execute certain actions, such as declaring or paying dividends, purchasing Evergy, Inc. stock or repaying principal on any indebtedness of Evergy that ranks equally with or junior to the Junior Subordinated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9. DERIVATIVE INSTRUMENTS</w:t>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Commodity Price Risk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engage in the wholesale and retail sale of electricity as part of their regulated electric operations. These activities expose the Evergy Companies to market risks associated with the price of electricity, natural gas and other energy-related products. Management has established risk management policies and strategies to reduce the potentially adverse effects that the volatility of the markets may have on the Evergy Companies' operating results. The Evergy Companies' commodity risk management activities, which are subject to the management, direction and control of an internal risk management committee, utilize derivative instruments to reduce the effects of fluctuations in wholesale sales and fuel and purchased power expense caused by commodity price volatility.</w:t>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Interest Rate Risk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are also exposed to market risks arising from changes in interest rates and may use derivative instruments to manage these risks. The Evergy Companies' interest rate risk management activities have included using derivative instruments to hedge against future interest rate fluctuations on anticipated debt issuances. From time to time, this may include entering into interest rate swap agreements to mitigate exposure to interest rate fluctuations associated with forecasted debt transactions. </w:t>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Trading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also engage in non-regulated energy marketing activity for trading purposes, primarily at Evergy Kansas Central, which focuses on seizing market opportunities to create value driven by expected changes in the market prices of commodities, primarily electricity and natural gas.</w:t>
      </w:r>
    </w:p>
    <w:p>
      <w:pPr>
        <w:pStyle w:val="TextBody"/>
        <w:bidi w:val="0"/>
        <w:spacing w:lineRule="auto" w:line="247" w:before="0" w:after="0"/>
        <w:jc w:val="left"/>
        <w:rPr>
          <w:rFonts w:ascii="Times New Roman;serif" w:hAnsi="Times New Roman;serif"/>
          <w:b/>
          <w:color w:val="000000"/>
          <w:sz w:val="22"/>
        </w:rPr>
      </w:pPr>
      <w:r>
        <w:rPr>
          <w:rFonts w:ascii="Times New Roman;serif" w:hAnsi="Times New Roman;serif"/>
          <w:b/>
          <w:color w:val="000000"/>
          <w:sz w:val="22"/>
        </w:rPr>
        <w:t>Accounting for Derivative Instruments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consider various qualitative factors, such as contract and marketplace attributes, in designating derivative instruments at inception. The Evergy Companies may elect the normal purchases and normal sales (NPNS) exception, which requires the effects of the derivative to be recorded when the underlying contract settles under accrual accounting. The Evergy Companies account for derivative instruments that are not designated as NPNS as (i) economic hedges or trading contracts (non-hedging derivatives) or (ii) cash flow hedges, which are recorded as assets or liabilities on the consolidated balance sheets at fair value. See Note 10 for additional information on the Evergy Companies' methods for assessing the fair value of derivative instruments.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Changes in the fair value of derivative instruments designated as economic hedges (non-hedging derivatives) that are related to the Evergy Companies' regulated operations are deferred to a regulatory asset or regulatory liability when determined to be probable of future recovery or refund from/to customers. Recovery of the actual costs incurred by regulated activities will not impact earnings but will impact cash flows due to the timing of the recovery mechanism.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Changes in the fair value of derivative instruments designated as trading contracts (non-hedging derivatives) are recorded in operating revenues on the Evergy Companies' statements of income and comprehensive income.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Changes in the fair value of interest rate swaps designated as cash flow hedges are initially recorded in other comprehensive income (OCI). These amounts are subsequently reclassified into earnings as an adjustment to interest expense over the same period that the hedged interest payments affect earnings. The Evergy Companies classify cash flows from derivative instruments accounted for as a cash flow hedge in the same category as the cash flows from the items being hedged.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offset fair value amounts recognized for derivative instruments under master netting arrangements, which include rights to reclaim cash collateral (a receivable), or the obligation to return cash collateral (a payable).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gross notional contract amount by commodity type for non-hedging derivative instruments is summarized in the following table.</w:t>
      </w:r>
    </w:p>
    <w:tbl>
      <w:tblPr>
        <w:tblW w:w="7899" w:type="dxa"/>
        <w:jc w:val="left"/>
        <w:tblInd w:w="0" w:type="dxa"/>
        <w:tblLayout w:type="fixed"/>
        <w:tblCellMar>
          <w:top w:w="28" w:type="dxa"/>
          <w:left w:w="28" w:type="dxa"/>
          <w:bottom w:w="28" w:type="dxa"/>
          <w:right w:w="28" w:type="dxa"/>
        </w:tblCellMar>
      </w:tblPr>
      <w:tblGrid>
        <w:gridCol w:w="793"/>
        <w:gridCol w:w="696"/>
        <w:gridCol w:w="700"/>
        <w:gridCol w:w="954"/>
        <w:gridCol w:w="954"/>
        <w:gridCol w:w="957"/>
        <w:gridCol w:w="419"/>
        <w:gridCol w:w="419"/>
        <w:gridCol w:w="421"/>
        <w:gridCol w:w="109"/>
        <w:gridCol w:w="109"/>
        <w:gridCol w:w="109"/>
        <w:gridCol w:w="368"/>
        <w:gridCol w:w="368"/>
        <w:gridCol w:w="523"/>
      </w:tblGrid>
      <w:t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r>
      <w:tr>
        <w:tc>
          <w:tcPr>
            <w:tcW w:w="2189"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c>
          <w:tcPr>
            <w:tcW w:w="21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Notional volume unit of measure</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MWhs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MMBtu</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MWhs</w:t>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MMBtu</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8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MWhs</w:t>
            </w:r>
          </w:p>
        </w:tc>
        <w:tc>
          <w:tcPr>
            <w:tcW w:w="838"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421"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2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2189" w:type="dxa"/>
            <w:gridSpan w:val="3"/>
            <w:tcBorders/>
            <w:vAlign w:val="center"/>
          </w:tcPr>
          <w:p>
            <w:pPr>
              <w:pStyle w:val="TableContents"/>
              <w:bidi w:val="0"/>
              <w:spacing w:before="0" w:after="283"/>
              <w:jc w:val="left"/>
              <w:rPr>
                <w:sz w:val="4"/>
                <w:szCs w:val="4"/>
              </w:rPr>
            </w:pPr>
            <w:r>
              <w:rPr>
                <w:sz w:val="4"/>
                <w:szCs w:val="4"/>
              </w:rPr>
            </w:r>
          </w:p>
        </w:tc>
        <w:tc>
          <w:tcPr>
            <w:tcW w:w="286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fair values of Evergy's open non-hedging derivative positions and balance sheet classifications are summarized in the following tables. The fair values below are gross values before netting agreements and netting of cash collateral. </w:t>
      </w:r>
    </w:p>
    <w:tbl>
      <w:tblPr>
        <w:tblW w:w="7420" w:type="dxa"/>
        <w:jc w:val="left"/>
        <w:tblInd w:w="0" w:type="dxa"/>
        <w:tblLayout w:type="fixed"/>
        <w:tblCellMar>
          <w:top w:w="28" w:type="dxa"/>
          <w:left w:w="28" w:type="dxa"/>
          <w:bottom w:w="28" w:type="dxa"/>
          <w:right w:w="28" w:type="dxa"/>
        </w:tblCellMar>
      </w:tblPr>
      <w:tblGrid>
        <w:gridCol w:w="813"/>
        <w:gridCol w:w="715"/>
        <w:gridCol w:w="721"/>
        <w:gridCol w:w="774"/>
        <w:gridCol w:w="774"/>
        <w:gridCol w:w="777"/>
        <w:gridCol w:w="283"/>
        <w:gridCol w:w="829"/>
        <w:gridCol w:w="147"/>
        <w:gridCol w:w="109"/>
        <w:gridCol w:w="109"/>
        <w:gridCol w:w="109"/>
        <w:gridCol w:w="303"/>
        <w:gridCol w:w="734"/>
        <w:gridCol w:w="223"/>
      </w:tblGrid>
      <w:tr>
        <w:tc>
          <w:tcPr>
            <w:tcW w:w="8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c>
          <w:tcPr>
            <w:tcW w:w="2249"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2846"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long-term</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long-term</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long-term</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4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232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7421" w:type="dxa"/>
        <w:jc w:val="left"/>
        <w:tblInd w:w="0" w:type="dxa"/>
        <w:tblLayout w:type="fixed"/>
        <w:tblCellMar>
          <w:top w:w="28" w:type="dxa"/>
          <w:left w:w="28" w:type="dxa"/>
          <w:bottom w:w="28" w:type="dxa"/>
          <w:right w:w="28" w:type="dxa"/>
        </w:tblCellMar>
      </w:tblPr>
      <w:tblGrid>
        <w:gridCol w:w="814"/>
        <w:gridCol w:w="717"/>
        <w:gridCol w:w="719"/>
        <w:gridCol w:w="774"/>
        <w:gridCol w:w="774"/>
        <w:gridCol w:w="777"/>
        <w:gridCol w:w="283"/>
        <w:gridCol w:w="829"/>
        <w:gridCol w:w="147"/>
        <w:gridCol w:w="109"/>
        <w:gridCol w:w="109"/>
        <w:gridCol w:w="109"/>
        <w:gridCol w:w="303"/>
        <w:gridCol w:w="734"/>
        <w:gridCol w:w="223"/>
      </w:tblGrid>
      <w:t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2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2846"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long-term</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232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3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long-term</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long-term</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232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2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96" w:type="dxa"/>
        <w:jc w:val="left"/>
        <w:tblInd w:w="0" w:type="dxa"/>
        <w:tblLayout w:type="fixed"/>
        <w:tblCellMar>
          <w:top w:w="28" w:type="dxa"/>
          <w:left w:w="28" w:type="dxa"/>
          <w:bottom w:w="28" w:type="dxa"/>
          <w:right w:w="28" w:type="dxa"/>
        </w:tblCellMar>
      </w:tblPr>
      <w:tblGrid>
        <w:gridCol w:w="815"/>
        <w:gridCol w:w="716"/>
        <w:gridCol w:w="719"/>
        <w:gridCol w:w="699"/>
        <w:gridCol w:w="699"/>
        <w:gridCol w:w="702"/>
        <w:gridCol w:w="319"/>
        <w:gridCol w:w="774"/>
        <w:gridCol w:w="166"/>
        <w:gridCol w:w="109"/>
        <w:gridCol w:w="109"/>
        <w:gridCol w:w="109"/>
        <w:gridCol w:w="344"/>
        <w:gridCol w:w="663"/>
        <w:gridCol w:w="253"/>
      </w:tblGrid>
      <w:t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2846" w:type="dxa"/>
            <w:gridSpan w:val="9"/>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current</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2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2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w:t>
            </w:r>
          </w:p>
        </w:tc>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 current</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vAlign w:val="center"/>
          </w:tcPr>
          <w:p>
            <w:pPr>
              <w:pStyle w:val="TableContents"/>
              <w:bidi w:val="0"/>
              <w:spacing w:before="0" w:after="283"/>
              <w:jc w:val="left"/>
              <w:rPr>
                <w:sz w:val="4"/>
                <w:szCs w:val="4"/>
              </w:rPr>
            </w:pPr>
            <w:r>
              <w:rPr>
                <w:sz w:val="4"/>
                <w:szCs w:val="4"/>
              </w:rPr>
            </w:r>
          </w:p>
        </w:tc>
        <w:tc>
          <w:tcPr>
            <w:tcW w:w="210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225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liabilities</w:t>
            </w:r>
          </w:p>
        </w:tc>
        <w:tc>
          <w:tcPr>
            <w:tcW w:w="210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5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pPr>
      <w:r>
        <w:rPr>
          <w:rFonts w:ascii="Times New Roman;serif" w:hAnsi="Times New Roman;serif"/>
          <w:b w:val="false"/>
          <w:color w:val="000000"/>
          <w:sz w:val="22"/>
        </w:rPr>
        <w:t>The following tables present</w:t>
      </w:r>
      <w:r>
        <w:rPr>
          <w:color w:val="000000"/>
        </w:rPr>
        <w:t xml:space="preserve"> </w:t>
      </w:r>
      <w:r>
        <w:rPr>
          <w:rFonts w:ascii="Times New Roman;serif" w:hAnsi="Times New Roman;serif"/>
          <w:b w:val="false"/>
          <w:color w:val="000000"/>
          <w:sz w:val="22"/>
        </w:rPr>
        <w:t>the line items on the Evergy Companies' consolidated balance sheets where non-hedging derivative assets and liabilities are reported. The gross amounts offset in the tables below show the effect of master netting arrangements and include collateral posted to offset the net position.</w:t>
      </w:r>
    </w:p>
    <w:tbl>
      <w:tblPr>
        <w:tblW w:w="9478" w:type="dxa"/>
        <w:jc w:val="left"/>
        <w:tblInd w:w="0" w:type="dxa"/>
        <w:tblLayout w:type="fixed"/>
        <w:tblCellMar>
          <w:top w:w="28" w:type="dxa"/>
          <w:left w:w="28" w:type="dxa"/>
          <w:bottom w:w="28" w:type="dxa"/>
          <w:right w:w="28" w:type="dxa"/>
        </w:tblCellMar>
      </w:tblPr>
      <w:tblGrid>
        <w:gridCol w:w="1599"/>
        <w:gridCol w:w="1402"/>
        <w:gridCol w:w="1408"/>
        <w:gridCol w:w="211"/>
        <w:gridCol w:w="616"/>
        <w:gridCol w:w="109"/>
        <w:gridCol w:w="109"/>
        <w:gridCol w:w="109"/>
        <w:gridCol w:w="109"/>
        <w:gridCol w:w="529"/>
        <w:gridCol w:w="1282"/>
        <w:gridCol w:w="273"/>
        <w:gridCol w:w="109"/>
        <w:gridCol w:w="109"/>
        <w:gridCol w:w="109"/>
        <w:gridCol w:w="336"/>
        <w:gridCol w:w="814"/>
        <w:gridCol w:w="245"/>
      </w:tblGrid>
      <w:tr>
        <w:tc>
          <w:tcPr>
            <w:tcW w:w="159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September 30, 2026</w:t>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Evergy Metro </w:t>
            </w:r>
          </w:p>
        </w:tc>
      </w:tr>
      <w:t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50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assets -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assets - long-term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liabilities - current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liabilities - long-term</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9372" w:type="dxa"/>
        <w:jc w:val="left"/>
        <w:tblInd w:w="0" w:type="dxa"/>
        <w:tblLayout w:type="fixed"/>
        <w:tblCellMar>
          <w:top w:w="28" w:type="dxa"/>
          <w:left w:w="28" w:type="dxa"/>
          <w:bottom w:w="28" w:type="dxa"/>
          <w:right w:w="28" w:type="dxa"/>
        </w:tblCellMar>
      </w:tblPr>
      <w:tblGrid>
        <w:gridCol w:w="1596"/>
        <w:gridCol w:w="1403"/>
        <w:gridCol w:w="1410"/>
        <w:gridCol w:w="211"/>
        <w:gridCol w:w="511"/>
        <w:gridCol w:w="109"/>
        <w:gridCol w:w="109"/>
        <w:gridCol w:w="109"/>
        <w:gridCol w:w="109"/>
        <w:gridCol w:w="529"/>
        <w:gridCol w:w="1282"/>
        <w:gridCol w:w="273"/>
        <w:gridCol w:w="109"/>
        <w:gridCol w:w="109"/>
        <w:gridCol w:w="109"/>
        <w:gridCol w:w="380"/>
        <w:gridCol w:w="734"/>
        <w:gridCol w:w="280"/>
      </w:tblGrid>
      <w:tr>
        <w:tc>
          <w:tcPr>
            <w:tcW w:w="1596"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8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Evergy Metro </w:t>
            </w:r>
          </w:p>
        </w:tc>
      </w:tr>
      <w:tr>
        <w:tc>
          <w:tcPr>
            <w:tcW w:w="440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4132" w:type="dxa"/>
            <w:gridSpan w:val="12"/>
            <w:tcBorders/>
          </w:tcPr>
          <w:p>
            <w:pPr>
              <w:pStyle w:val="TableContents"/>
              <w:bidi w:val="0"/>
              <w:spacing w:before="0" w:after="283"/>
              <w:jc w:val="left"/>
              <w:rPr>
                <w:sz w:val="4"/>
                <w:szCs w:val="4"/>
              </w:rPr>
            </w:pPr>
            <w:r>
              <w:rPr>
                <w:sz w:val="4"/>
                <w:szCs w:val="4"/>
              </w:rPr>
            </w:r>
          </w:p>
        </w:tc>
      </w:tr>
      <w:t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Non-hedging derivatives</w:t>
            </w:r>
          </w:p>
        </w:tc>
        <w:tc>
          <w:tcPr>
            <w:tcW w:w="496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assets - current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assets - long-term</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liabilities - current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recognized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amounts offset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amounts presented in other liabilities - long-term</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2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amounts of gain recognized in income for the change in fair value of derivatives not designated as hedging instruments for the Evergy Companies. </w:t>
      </w:r>
    </w:p>
    <w:tbl>
      <w:tblPr>
        <w:tblW w:w="9606" w:type="dxa"/>
        <w:jc w:val="left"/>
        <w:tblInd w:w="0" w:type="dxa"/>
        <w:tblLayout w:type="fixed"/>
        <w:tblCellMar>
          <w:top w:w="28" w:type="dxa"/>
          <w:left w:w="28" w:type="dxa"/>
          <w:bottom w:w="28" w:type="dxa"/>
          <w:right w:w="28" w:type="dxa"/>
        </w:tblCellMar>
      </w:tblPr>
      <w:tblGrid>
        <w:gridCol w:w="1369"/>
        <w:gridCol w:w="1202"/>
        <w:gridCol w:w="1208"/>
        <w:gridCol w:w="419"/>
        <w:gridCol w:w="419"/>
        <w:gridCol w:w="42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54"/>
      </w:tblGrid>
      <w:tr>
        <w:tc>
          <w:tcPr>
            <w:tcW w:w="136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Non-hedging derivatives - Location of gain </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type</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5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gross notional contract amount by type for hedging derivative instruments. </w:t>
      </w:r>
    </w:p>
    <w:tbl>
      <w:tblPr>
        <w:tblW w:w="9273" w:type="dxa"/>
        <w:jc w:val="left"/>
        <w:tblInd w:w="0" w:type="dxa"/>
        <w:tblLayout w:type="fixed"/>
        <w:tblCellMar>
          <w:top w:w="28" w:type="dxa"/>
          <w:left w:w="28" w:type="dxa"/>
          <w:bottom w:w="28" w:type="dxa"/>
          <w:right w:w="28" w:type="dxa"/>
        </w:tblCellMar>
      </w:tblPr>
      <w:tblGrid>
        <w:gridCol w:w="1211"/>
        <w:gridCol w:w="1064"/>
        <w:gridCol w:w="1070"/>
        <w:gridCol w:w="954"/>
        <w:gridCol w:w="954"/>
        <w:gridCol w:w="957"/>
        <w:gridCol w:w="283"/>
        <w:gridCol w:w="829"/>
        <w:gridCol w:w="147"/>
        <w:gridCol w:w="109"/>
        <w:gridCol w:w="109"/>
        <w:gridCol w:w="109"/>
        <w:gridCol w:w="273"/>
        <w:gridCol w:w="799"/>
        <w:gridCol w:w="142"/>
        <w:gridCol w:w="109"/>
        <w:gridCol w:w="154"/>
      </w:tblGrid>
      <w:t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Hedging derivatives - Cash flow hedge</w:t>
            </w:r>
          </w:p>
        </w:tc>
        <w:tc>
          <w:tcPr>
            <w:tcW w:w="286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Notional volume unit of measure</w:t>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pPr>
            <w:r/>
          </w:p>
        </w:tc>
        <w:tc>
          <w:tcPr>
            <w:tcW w:w="286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p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pPr>
            <w:r/>
          </w:p>
        </w:tc>
        <w:tc>
          <w:tcPr>
            <w:tcW w:w="286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p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c>
          <w:tcPr>
            <w:tcW w:w="334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86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28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47"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4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fair value of Evergy's open hedging derivative positions and balance sheet classifications are summarized in the following table. The fair values represent both the gross and net impact of netting agreements and the netting of cash collateral.</w:t>
      </w:r>
    </w:p>
    <w:tbl>
      <w:tblPr>
        <w:tblW w:w="8420" w:type="dxa"/>
        <w:jc w:val="left"/>
        <w:tblInd w:w="0" w:type="dxa"/>
        <w:tblLayout w:type="fixed"/>
        <w:tblCellMar>
          <w:top w:w="28" w:type="dxa"/>
          <w:left w:w="28" w:type="dxa"/>
          <w:bottom w:w="28" w:type="dxa"/>
          <w:right w:w="28" w:type="dxa"/>
        </w:tblCellMar>
      </w:tblPr>
      <w:tblGrid>
        <w:gridCol w:w="1211"/>
        <w:gridCol w:w="1064"/>
        <w:gridCol w:w="1070"/>
        <w:gridCol w:w="669"/>
        <w:gridCol w:w="669"/>
        <w:gridCol w:w="672"/>
        <w:gridCol w:w="366"/>
        <w:gridCol w:w="704"/>
        <w:gridCol w:w="190"/>
        <w:gridCol w:w="109"/>
        <w:gridCol w:w="109"/>
        <w:gridCol w:w="109"/>
        <w:gridCol w:w="353"/>
        <w:gridCol w:w="679"/>
        <w:gridCol w:w="183"/>
        <w:gridCol w:w="109"/>
        <w:gridCol w:w="154"/>
      </w:tblGrid>
      <w:t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Hedging derivatives - Cash flow hedge</w:t>
            </w:r>
          </w:p>
        </w:tc>
        <w:tc>
          <w:tcPr>
            <w:tcW w:w="2010" w:type="dxa"/>
            <w:gridSpan w:val="3"/>
            <w:vMerge w:val="restart"/>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 location</w:t>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pPr>
            <w:r/>
          </w:p>
        </w:tc>
        <w:tc>
          <w:tcPr>
            <w:tcW w:w="2010"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p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pPr>
            <w:r/>
          </w:p>
        </w:tc>
        <w:tc>
          <w:tcPr>
            <w:tcW w:w="2010" w:type="dxa"/>
            <w:gridSpan w:val="3"/>
            <w:vMerge w:val="continue"/>
            <w:tcBorders>
              <w:top w:val="single" w:sz="16" w:space="0" w:color="000000"/>
            </w:tcBorders>
            <w:tcMar>
              <w:top w:w="30" w:type="dxa"/>
              <w:left w:w="0" w:type="dxa"/>
              <w:bottom w:w="0" w:type="dxa"/>
              <w:right w:w="0" w:type="dxa"/>
            </w:tcMar>
            <w:vAlign w:val="center"/>
          </w:tcPr>
          <w:p>
            <w:pPr>
              <w:pStyle w:val="Normal"/>
              <w:bidi w:val="0"/>
              <w:jc w:val="left"/>
            </w:p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 rate swaps</w:t>
            </w:r>
          </w:p>
        </w:tc>
        <w:tc>
          <w:tcPr>
            <w:tcW w:w="2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 long-term</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 assets</w:t>
            </w:r>
          </w:p>
        </w:tc>
        <w:tc>
          <w:tcPr>
            <w:tcW w:w="2010"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45"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Credit Risk and Credit-Risk-Related Contingent Features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Credit risk of the Evergy Companies' derivative instruments relates to the potential adverse financial impact resulting from non-performance by a counterparty of its contractual obligations. The Evergy Companies maintain credit policies and employ credit risk mitigation, such as collateral requirements or letters of credit, when necessary to minimize their overall credit risk and monitor exposure. Substantially all counterparty credit risk and derivative instruments containing credit-risk-related contingent features relate to Evergy Kansas Central's non-regulated energy marketing activities.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Certain of the Evergy Companies' derivative instruments contain collateral provisions that are tied to the Evergy Companies' credit ratings and may require the posting of collateral for various reasons, including if the Evergy Companies' credit ratings were to fall below investment grade. Substantially all of these derivative instruments relate to Evergy Kansas Central's non-regulated energy marketing activities.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presents information related to counterparty credit risk and derivative instruments containing credit-risk-related contingent features for Evergy and Evergy Kansas Central as of September 30, 2026. </w:t>
      </w:r>
    </w:p>
    <w:p>
      <w:pPr>
        <w:pStyle w:val="TextBody"/>
        <w:bidi w:val="0"/>
        <w:spacing w:before="0" w:after="0"/>
        <w:jc w:val="left"/>
      </w:pPr>
      <w:r/>
    </w:p>
    <w:tbl>
      <w:tblPr>
        <w:tblW w:w="7327" w:type="dxa"/>
        <w:jc w:val="left"/>
        <w:tblInd w:w="0" w:type="dxa"/>
        <w:tblLayout w:type="fixed"/>
        <w:tblCellMar>
          <w:top w:w="28" w:type="dxa"/>
          <w:left w:w="28" w:type="dxa"/>
          <w:bottom w:w="28" w:type="dxa"/>
          <w:right w:w="28" w:type="dxa"/>
        </w:tblCellMar>
      </w:tblPr>
      <w:tblGrid>
        <w:gridCol w:w="2102"/>
        <w:gridCol w:w="1846"/>
        <w:gridCol w:w="1857"/>
        <w:gridCol w:w="319"/>
        <w:gridCol w:w="774"/>
        <w:gridCol w:w="166"/>
        <w:gridCol w:w="109"/>
        <w:gridCol w:w="154"/>
      </w:tblGrid>
      <w:tr>
        <w:tc>
          <w:tcPr>
            <w:tcW w:w="210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805" w:type="dxa"/>
            <w:gridSpan w:val="3"/>
            <w:vMerge w:val="restart"/>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805" w:type="dxa"/>
            <w:gridSpan w:val="3"/>
            <w:vMerge w:val="continue"/>
            <w:tcBorders>
              <w:top w:val="single" w:sz="16" w:space="0" w:color="000000"/>
            </w:tcBorders>
            <w:tcMar>
              <w:left w:w="0" w:type="dxa"/>
              <w:bottom w:w="0" w:type="dxa"/>
              <w:right w:w="0" w:type="dxa"/>
            </w:tcMar>
            <w:vAlign w:val="center"/>
          </w:tcPr>
          <w:p>
            <w:pPr>
              <w:pStyle w:val="Normal"/>
              <w:bidi w:val="0"/>
              <w:jc w:val="left"/>
            </w:p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80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5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Counterparty Credit Risk</w:t>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exposure related to derivative assets</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exposure after master netting arrangements and collateral received</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Credit-Risk-Related Contingent Features</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fair value of derivatives in a liability position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posted</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80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collateral required if contingent features were triggered</w:t>
            </w:r>
          </w:p>
        </w:tc>
        <w:tc>
          <w:tcPr>
            <w:tcW w:w="109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6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10. FAIR VALUE MEASUREMENTS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Values of Financial Instruments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net asset value (NAV), which are not included in the fair value hierarchy. Further explanation of these levels and NAV is summarized below.</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Level 1 – Quoted prices are available in active markets for identical assets or liabilities. The types of assets and liabilities included in Level 1 are highly liquid and actively traded instruments with quoted prices, such as equities listed on public exchanges or exchange-traded derivative instruments.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Level 2 –  Pricing inputs are not quoted prices in active markets but are either directly or indirectly observable. The types of assets and liabilities included in Level 2 are certain marketable debt securities, financial instruments traded in less than active markets, non-exchange traded derivative instruments with observable forward curves and options contracts.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Level 3 – Significant inputs to pricing have little or no transparency. The types of assets and liabilities included in Level 3 are those with inputs requiring significant management judgment or estimation. The types of assets and liabilities included in Level 3 are non-exchange traded derivative instruments for which observable market data is not available to corroborate the valuation inputs and transmission congestion rights (TCRs) in the SPP Integrated Marketplace.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 funds that do not have a readily determinable fair value. The underlying alternative investments include collateralized debt obligations, mezzanine debt and a variety of other investments.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record cash and cash equivalents, accounts receivable and short-term borrowings on their consolidated balance sheets at cost, which approximates fair value due to the short-term nature of these instruments.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Fair Value of Long-Term Debt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Evergy Companies measure the fair value of long-term debt using Level 2 measurements available as of the measurement date. The book value and fair value of the Evergy Companies' long-term debt are summarized in the following table.</w:t>
      </w:r>
    </w:p>
    <w:tbl>
      <w:tblPr>
        <w:tblW w:w="8081" w:type="dxa"/>
        <w:jc w:val="center"/>
        <w:tblInd w:w="0" w:type="dxa"/>
        <w:tblLayout w:type="fixed"/>
        <w:tblCellMar>
          <w:top w:w="28" w:type="dxa"/>
          <w:left w:w="28" w:type="dxa"/>
          <w:bottom w:w="28" w:type="dxa"/>
          <w:right w:w="28" w:type="dxa"/>
        </w:tblCellMar>
      </w:tblPr>
      <w:tblGrid>
        <w:gridCol w:w="711"/>
        <w:gridCol w:w="625"/>
        <w:gridCol w:w="628"/>
        <w:gridCol w:w="109"/>
        <w:gridCol w:w="109"/>
        <w:gridCol w:w="109"/>
        <w:gridCol w:w="211"/>
        <w:gridCol w:w="871"/>
        <w:gridCol w:w="109"/>
        <w:gridCol w:w="109"/>
        <w:gridCol w:w="109"/>
        <w:gridCol w:w="109"/>
        <w:gridCol w:w="211"/>
        <w:gridCol w:w="871"/>
        <w:gridCol w:w="109"/>
        <w:gridCol w:w="109"/>
        <w:gridCol w:w="109"/>
        <w:gridCol w:w="109"/>
        <w:gridCol w:w="211"/>
        <w:gridCol w:w="871"/>
        <w:gridCol w:w="109"/>
        <w:gridCol w:w="109"/>
        <w:gridCol w:w="109"/>
        <w:gridCol w:w="109"/>
        <w:gridCol w:w="211"/>
        <w:gridCol w:w="871"/>
        <w:gridCol w:w="154"/>
      </w:tblGrid>
      <w:t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081" w:type="dxa"/>
            <w:gridSpan w:val="12"/>
            <w:tcBorders/>
          </w:tcPr>
          <w:p>
            <w:pPr>
              <w:pStyle w:val="TableContents"/>
              <w:bidi w:val="0"/>
              <w:spacing w:before="0" w:after="283"/>
              <w:jc w:val="left"/>
              <w:rPr>
                <w:sz w:val="4"/>
                <w:szCs w:val="4"/>
              </w:rPr>
            </w:pPr>
            <w:r>
              <w:rPr>
                <w:sz w:val="4"/>
                <w:szCs w:val="4"/>
              </w:rPr>
            </w:r>
          </w:p>
        </w:tc>
      </w:tr>
      <w:t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Book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Book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c>
          <w:tcPr>
            <w:tcW w:w="1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color w:val="000000"/>
                <w:sz w:val="20"/>
              </w:rPr>
              <w:t>Long-term debt</w:t>
            </w:r>
            <w:r>
              <w:rPr>
                <w:rFonts w:ascii="Times New Roman;serif" w:hAnsi="Times New Roman;serif"/>
                <w:b/>
                <w:color w:val="000000"/>
                <w:sz w:val="13"/>
              </w:rPr>
              <w:t>(a)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Evergy</w:t>
            </w:r>
            <w:r>
              <w:rPr>
                <w:rFonts w:ascii="Times New Roman;serif" w:hAnsi="Times New Roman;serif"/>
                <w:b w:val="false"/>
                <w:color w:val="000000"/>
                <w:sz w:val="13"/>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3,272.5 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2,898.7 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3,271.4 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3,122.7 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pPr>
      <w:r>
        <w:rPr>
          <w:rFonts w:ascii="Times New Roman;serif" w:hAnsi="Times New Roman;serif"/>
          <w:b w:val="false"/>
          <w:color w:val="000000"/>
          <w:sz w:val="12"/>
        </w:rPr>
        <w:t xml:space="preserve">(a) </w:t>
      </w:r>
      <w:r>
        <w:rPr>
          <w:rFonts w:ascii="Times New Roman;serif" w:hAnsi="Times New Roman;serif"/>
          <w:b w:val="false"/>
          <w:color w:val="000000"/>
          <w:sz w:val="18"/>
        </w:rPr>
        <w:t>Includes current maturities.</w:t>
      </w:r>
    </w:p>
    <w:p>
      <w:pPr>
        <w:pStyle w:val="TextBody"/>
        <w:bidi w:val="0"/>
        <w:spacing w:lineRule="auto" w:line="288" w:before="0" w:after="420"/>
        <w:ind w:left="0" w:right="0" w:hanging="180"/>
        <w:jc w:val="left"/>
      </w:pPr>
      <w:r>
        <w:rPr>
          <w:rFonts w:ascii="Times New Roman;serif" w:hAnsi="Times New Roman;serif"/>
          <w:b w:val="false"/>
          <w:color w:val="000000"/>
          <w:sz w:val="12"/>
        </w:rPr>
        <w:t xml:space="preserve">(b) </w:t>
      </w:r>
      <w:r>
        <w:rPr>
          <w:rFonts w:ascii="Times New Roman;serif" w:hAnsi="Times New Roman;serif"/>
          <w:b w:val="false"/>
          <w:color w:val="000000"/>
          <w:sz w:val="18"/>
        </w:rPr>
        <w:t>Book value as of September 30, 2026, and December 31, 2025, includes $72.0 million and $76.1 million, respectively, of fair value adjustments recorded in connection with purchase accounting for the merger that created Evergy, which are not part of future principal payments and will amortize over the remaining life of the associated debt instrument.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Recurring Fair Value Measurements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tables include balances of financial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897"/>
        <w:gridCol w:w="628"/>
        <w:gridCol w:w="610"/>
        <w:gridCol w:w="111"/>
        <w:gridCol w:w="111"/>
        <w:gridCol w:w="111"/>
        <w:gridCol w:w="199"/>
        <w:gridCol w:w="567"/>
        <w:gridCol w:w="111"/>
        <w:gridCol w:w="111"/>
        <w:gridCol w:w="111"/>
        <w:gridCol w:w="111"/>
        <w:gridCol w:w="109"/>
        <w:gridCol w:w="109"/>
        <w:gridCol w:w="109"/>
        <w:gridCol w:w="196"/>
        <w:gridCol w:w="502"/>
        <w:gridCol w:w="109"/>
        <w:gridCol w:w="109"/>
        <w:gridCol w:w="109"/>
        <w:gridCol w:w="109"/>
        <w:gridCol w:w="196"/>
        <w:gridCol w:w="556"/>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06"/>
        <w:gridCol w:w="109"/>
        <w:gridCol w:w="109"/>
        <w:gridCol w:w="109"/>
        <w:gridCol w:w="159"/>
      </w:tblGrid>
      <w:tr>
        <w:tc>
          <w:tcPr>
            <w:tcW w:w="89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543"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Netting</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3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c>
          <w:tcPr>
            <w:tcW w:w="2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Kansas Central</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c>
          <w:tcPr>
            <w:tcW w:w="2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equity funds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equity funds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bond fund</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High-yield bond fund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markets bond fund</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Combination debt/equity/other fund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Alternative investments fund</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fund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nuclear decommissioning trust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funds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Combination debt/equity/other fund</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rabbi trust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Metro</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Agency</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obligations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governments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nuclear decommissioning trust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Self-insured health plan trust</w:t>
            </w:r>
            <w:r>
              <w:rPr>
                <w:rFonts w:ascii="Times New Roman;serif" w:hAnsi="Times New Roman;serif"/>
                <w:b w:val="false"/>
                <w:color w:val="000000"/>
                <w:sz w:val="12"/>
              </w:rPr>
              <w:t>(c)</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self-insured health plan trust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213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78"/>
        <w:gridCol w:w="546"/>
        <w:gridCol w:w="551"/>
        <w:gridCol w:w="109"/>
        <w:gridCol w:w="109"/>
        <w:gridCol w:w="109"/>
        <w:gridCol w:w="196"/>
        <w:gridCol w:w="691"/>
        <w:gridCol w:w="109"/>
        <w:gridCol w:w="109"/>
        <w:gridCol w:w="109"/>
        <w:gridCol w:w="109"/>
        <w:gridCol w:w="109"/>
        <w:gridCol w:w="109"/>
        <w:gridCol w:w="109"/>
        <w:gridCol w:w="196"/>
        <w:gridCol w:w="498"/>
        <w:gridCol w:w="109"/>
        <w:gridCol w:w="109"/>
        <w:gridCol w:w="109"/>
        <w:gridCol w:w="109"/>
        <w:gridCol w:w="196"/>
        <w:gridCol w:w="556"/>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66"/>
        <w:gridCol w:w="109"/>
        <w:gridCol w:w="109"/>
        <w:gridCol w:w="109"/>
        <w:gridCol w:w="156"/>
      </w:tblGrid>
      <w:tr>
        <w:tc>
          <w:tcPr>
            <w:tcW w:w="878"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65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Netting</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9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c>
          <w:tcPr>
            <w:tcW w:w="1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Evergy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9"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r>
      <w:t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interest rate swaps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Self-insured health plan trust</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interest rate swaps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975"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902"/>
        <w:gridCol w:w="636"/>
        <w:gridCol w:w="617"/>
        <w:gridCol w:w="109"/>
        <w:gridCol w:w="109"/>
        <w:gridCol w:w="109"/>
        <w:gridCol w:w="197"/>
        <w:gridCol w:w="560"/>
        <w:gridCol w:w="109"/>
        <w:gridCol w:w="109"/>
        <w:gridCol w:w="109"/>
        <w:gridCol w:w="109"/>
        <w:gridCol w:w="196"/>
        <w:gridCol w:w="503"/>
        <w:gridCol w:w="109"/>
        <w:gridCol w:w="109"/>
        <w:gridCol w:w="109"/>
        <w:gridCol w:w="109"/>
        <w:gridCol w:w="196"/>
        <w:gridCol w:w="556"/>
        <w:gridCol w:w="109"/>
        <w:gridCol w:w="109"/>
        <w:gridCol w:w="109"/>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06"/>
        <w:gridCol w:w="109"/>
        <w:gridCol w:w="109"/>
        <w:gridCol w:w="109"/>
        <w:gridCol w:w="161"/>
      </w:tblGrid>
      <w:tr>
        <w:tc>
          <w:tcPr>
            <w:tcW w:w="90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52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80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Netting</w:t>
            </w:r>
          </w:p>
        </w:tc>
        <w:tc>
          <w:tcPr>
            <w:tcW w:w="15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3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c>
          <w:tcPr>
            <w:tcW w:w="2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4"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Domestic 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International 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High-yield bond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markets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Combination debt/equity/other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Alternative investments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 estate securities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nuclear decommissioning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Combination debt/equity/other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rabbi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 Metro</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Agency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nuclear decommissioning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Self-insured health plan trust</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self-insured health plan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215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840"/>
        <w:gridCol w:w="489"/>
        <w:gridCol w:w="493"/>
        <w:gridCol w:w="109"/>
        <w:gridCol w:w="109"/>
        <w:gridCol w:w="109"/>
        <w:gridCol w:w="196"/>
        <w:gridCol w:w="691"/>
        <w:gridCol w:w="109"/>
        <w:gridCol w:w="109"/>
        <w:gridCol w:w="109"/>
        <w:gridCol w:w="109"/>
        <w:gridCol w:w="196"/>
        <w:gridCol w:w="493"/>
        <w:gridCol w:w="109"/>
        <w:gridCol w:w="109"/>
        <w:gridCol w:w="109"/>
        <w:gridCol w:w="109"/>
        <w:gridCol w:w="196"/>
        <w:gridCol w:w="556"/>
        <w:gridCol w:w="109"/>
        <w:gridCol w:w="109"/>
        <w:gridCol w:w="109"/>
        <w:gridCol w:w="109"/>
        <w:gridCol w:w="109"/>
        <w:gridCol w:w="109"/>
        <w:gridCol w:w="109"/>
        <w:gridCol w:w="196"/>
        <w:gridCol w:w="466"/>
        <w:gridCol w:w="109"/>
        <w:gridCol w:w="109"/>
        <w:gridCol w:w="109"/>
        <w:gridCol w:w="109"/>
        <w:gridCol w:w="109"/>
        <w:gridCol w:w="109"/>
        <w:gridCol w:w="109"/>
        <w:gridCol w:w="196"/>
        <w:gridCol w:w="406"/>
        <w:gridCol w:w="109"/>
        <w:gridCol w:w="109"/>
        <w:gridCol w:w="109"/>
        <w:gridCol w:w="109"/>
        <w:gridCol w:w="109"/>
        <w:gridCol w:w="109"/>
        <w:gridCol w:w="109"/>
        <w:gridCol w:w="196"/>
        <w:gridCol w:w="466"/>
        <w:gridCol w:w="109"/>
        <w:gridCol w:w="109"/>
        <w:gridCol w:w="109"/>
        <w:gridCol w:w="314"/>
      </w:tblGrid>
      <w:tr>
        <w:tc>
          <w:tcPr>
            <w:tcW w:w="840"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Description</w:t>
            </w:r>
          </w:p>
        </w:tc>
        <w:tc>
          <w:tcPr>
            <w:tcW w:w="1650"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798"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Netting</w:t>
            </w:r>
          </w:p>
        </w:tc>
        <w:tc>
          <w:tcPr>
            <w:tcW w:w="151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142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365" w:type="dxa"/>
            <w:gridSpan w:val="9"/>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1098" w:type="dxa"/>
            <w:gridSpan w:val="6"/>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cPr>
          <w:p>
            <w:pPr>
              <w:pStyle w:val="TableContents"/>
              <w:bidi w:val="0"/>
              <w:spacing w:before="0" w:after="283"/>
              <w:jc w:val="left"/>
              <w:rPr>
                <w:sz w:val="4"/>
                <w:szCs w:val="4"/>
              </w:rPr>
            </w:pPr>
            <w:r>
              <w:rPr>
                <w:sz w:val="4"/>
                <w:szCs w:val="4"/>
              </w:rPr>
            </w:r>
          </w:p>
        </w:tc>
      </w:tr>
      <w:tr>
        <w:tc>
          <w:tcPr>
            <w:tcW w:w="18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Evergy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4" w:type="dxa"/>
            <w:gridSpan w:val="4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tcPr>
          <w:p>
            <w:pPr>
              <w:pStyle w:val="TableContents"/>
              <w:bidi w:val="0"/>
              <w:spacing w:before="0" w:after="283"/>
              <w:jc w:val="left"/>
              <w:rPr>
                <w:sz w:val="4"/>
                <w:szCs w:val="4"/>
              </w:rPr>
            </w:pPr>
            <w:r>
              <w:rPr>
                <w:sz w:val="4"/>
                <w:szCs w:val="4"/>
              </w:rPr>
            </w:r>
          </w:p>
        </w:tc>
      </w:tr>
      <w:t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ind w:left="0" w:right="0" w:firstLine="180"/>
              <w:jc w:val="left"/>
              <w:rPr>
                <w:sz w:val="4"/>
                <w:szCs w:val="4"/>
              </w:rPr>
            </w:pPr>
            <w:r>
              <w:rPr>
                <w:sz w:val="4"/>
                <w:szCs w:val="4"/>
              </w:rPr>
            </w:r>
          </w:p>
        </w:tc>
      </w:tr>
      <w:tr>
        <w:tc>
          <w:tcPr>
            <w:tcW w:w="18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bond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interest rate swaps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Evergy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Nuclear decommissioning trust</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Rabbi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Self-insured health plan trust</w:t>
            </w:r>
            <w:r>
              <w:rPr>
                <w:rFonts w:ascii="Times New Roman;serif" w:hAnsi="Times New Roman;serif"/>
                <w:b w:val="false"/>
                <w:color w:val="000000"/>
                <w:sz w:val="12"/>
              </w:rPr>
              <w: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interest rate swaps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18"/>
              </w:rPr>
              <w:t>Derivative instruments - commodity contracts</w:t>
            </w:r>
            <w:r>
              <w:rPr>
                <w:rFonts w:ascii="Times New Roman;serif" w:hAnsi="Times New Roman;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c>
          <w:tcPr>
            <w:tcW w:w="1822"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pPr>
      <w:r>
        <w:rPr>
          <w:rFonts w:ascii="Times New Roman;serif" w:hAnsi="Times New Roman;serif"/>
          <w:b w:val="false"/>
          <w:color w:val="000000"/>
          <w:sz w:val="12"/>
        </w:rPr>
        <w:t>(a)</w:t>
      </w:r>
      <w:r>
        <w:rPr>
          <w:rFonts w:ascii="Times New Roman;serif" w:hAnsi="Times New Roman;serif"/>
          <w:b w:val="false"/>
          <w:color w:val="000000"/>
          <w:sz w:val="18"/>
        </w:rPr>
        <w:t>With the exception of investments measured at NAV, fair value is based on quoted market prices of the investments held by the trust and/or valuation models.  </w:t>
      </w:r>
    </w:p>
    <w:p>
      <w:pPr>
        <w:pStyle w:val="TextBody"/>
        <w:bidi w:val="0"/>
        <w:spacing w:lineRule="auto" w:line="288" w:before="0" w:after="20"/>
        <w:ind w:left="0" w:right="0" w:hanging="180"/>
        <w:jc w:val="left"/>
      </w:pPr>
      <w:r>
        <w:rPr>
          <w:rFonts w:ascii="Times New Roman;serif" w:hAnsi="Times New Roman;serif"/>
          <w:b w:val="false"/>
          <w:color w:val="000000"/>
          <w:sz w:val="12"/>
        </w:rPr>
        <w:t>(b)</w:t>
      </w:r>
      <w:r>
        <w:rPr>
          <w:rFonts w:ascii="Times New Roman;serif" w:hAnsi="Times New Roman;serif"/>
          <w:b w:val="false"/>
          <w:color w:val="000000"/>
          <w:sz w:val="18"/>
        </w:rPr>
        <w:t>Derivative instruments classified as Level 1 consist of exchange-traded derivative instruments with fair value based on quoted market prices. Derivative instruments classified as Level 2 consist of non-exchange traded derivative instruments with observable forward curves and option contracts priced with models using observable inputs. Derivative instruments classified as Level 3 consist of non-exchange traded derivative instruments for which observable market data is not available to corroborate the valuation inputs and TCRs valued at the most recent auction price in the SPP Integrated Marketplace.</w:t>
      </w:r>
    </w:p>
    <w:p>
      <w:pPr>
        <w:pStyle w:val="TextBody"/>
        <w:bidi w:val="0"/>
        <w:spacing w:lineRule="auto" w:line="288" w:before="0" w:after="240"/>
        <w:ind w:left="0" w:right="0" w:hanging="180"/>
        <w:jc w:val="left"/>
      </w:pPr>
      <w:r>
        <w:rPr>
          <w:rFonts w:ascii="Times New Roman;serif" w:hAnsi="Times New Roman;serif"/>
          <w:b w:val="false"/>
          <w:color w:val="000000"/>
          <w:sz w:val="12"/>
        </w:rPr>
        <w:t>(c)</w:t>
      </w:r>
      <w:r>
        <w:rPr>
          <w:rFonts w:ascii="Times New Roman;serif" w:hAnsi="Times New Roman;serif"/>
          <w:b w:val="false"/>
          <w:color w:val="000000"/>
          <w:sz w:val="18"/>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Certain Evergy and Evergy Kansas Central investments included in the table above are measured at NAV as they do not have readily determinable fair values. In certain situations, these investments may have redemption restrictions. The following table provides additional information on these Evergy and Evergy Kansas Central investments.</w:t>
      </w:r>
    </w:p>
    <w:tbl>
      <w:tblPr>
        <w:tblW w:w="10205" w:type="dxa"/>
        <w:jc w:val="center"/>
        <w:tblInd w:w="0" w:type="dxa"/>
        <w:tblLayout w:type="fixed"/>
        <w:tblCellMar>
          <w:top w:w="28" w:type="dxa"/>
          <w:left w:w="28" w:type="dxa"/>
          <w:bottom w:w="28" w:type="dxa"/>
          <w:right w:w="28" w:type="dxa"/>
        </w:tblCellMar>
      </w:tblPr>
      <w:tblGrid>
        <w:gridCol w:w="864"/>
        <w:gridCol w:w="694"/>
        <w:gridCol w:w="505"/>
        <w:gridCol w:w="211"/>
        <w:gridCol w:w="511"/>
        <w:gridCol w:w="109"/>
        <w:gridCol w:w="109"/>
        <w:gridCol w:w="109"/>
        <w:gridCol w:w="109"/>
        <w:gridCol w:w="374"/>
        <w:gridCol w:w="721"/>
        <w:gridCol w:w="196"/>
        <w:gridCol w:w="109"/>
        <w:gridCol w:w="109"/>
        <w:gridCol w:w="109"/>
        <w:gridCol w:w="211"/>
        <w:gridCol w:w="511"/>
        <w:gridCol w:w="109"/>
        <w:gridCol w:w="109"/>
        <w:gridCol w:w="109"/>
        <w:gridCol w:w="109"/>
        <w:gridCol w:w="374"/>
        <w:gridCol w:w="721"/>
        <w:gridCol w:w="196"/>
        <w:gridCol w:w="109"/>
        <w:gridCol w:w="109"/>
        <w:gridCol w:w="109"/>
        <w:gridCol w:w="375"/>
        <w:gridCol w:w="375"/>
        <w:gridCol w:w="376"/>
        <w:gridCol w:w="142"/>
        <w:gridCol w:w="142"/>
        <w:gridCol w:w="142"/>
        <w:gridCol w:w="297"/>
        <w:gridCol w:w="297"/>
        <w:gridCol w:w="444"/>
      </w:tblGrid>
      <w:tr>
        <w:tc>
          <w:tcPr>
            <w:tcW w:w="86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c>
          <w:tcPr>
            <w:tcW w:w="206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r>
      <w:tr>
        <w:tc>
          <w:tcPr>
            <w:tcW w:w="2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Redemption</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Length of</w:t>
            </w:r>
          </w:p>
        </w:tc>
      </w:tr>
      <w:tr>
        <w:tc>
          <w:tcPr>
            <w:tcW w:w="2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Frequency</w:t>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Settlement</w:t>
            </w:r>
          </w:p>
        </w:tc>
      </w:tr>
      <w:tr>
        <w:tc>
          <w:tcPr>
            <w:tcW w:w="2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52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w:t>
            </w:r>
          </w:p>
        </w:tc>
        <w:tc>
          <w:tcPr>
            <w:tcW w:w="5225"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 equity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r>
      <w:tr>
        <w:tc>
          <w:tcPr>
            <w:tcW w:w="2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Alternative investments fund</w:t>
            </w:r>
            <w:r>
              <w:rPr>
                <w:rFonts w:ascii="Times New Roman;serif" w:hAnsi="Times New Roman;serif"/>
                <w:b w:val="false"/>
                <w:color w:val="000000"/>
                <w:sz w:val="12"/>
              </w:rPr>
              <w:t>(b)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 days</w:t>
            </w:r>
          </w:p>
        </w:tc>
      </w:tr>
      <w:tr>
        <w:tc>
          <w:tcPr>
            <w:tcW w:w="20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Real estate securities fund</w:t>
            </w:r>
            <w:r>
              <w:rPr>
                <w:rFonts w:ascii="Times New Roman;serif" w:hAnsi="Times New Roman;serif"/>
                <w:b w:val="false"/>
                <w:color w:val="000000"/>
                <w:sz w:val="12"/>
              </w:rPr>
              <w:t>(b)</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Quarterly</w:t>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65 days</w:t>
            </w:r>
          </w:p>
        </w:tc>
      </w:tr>
      <w:tr>
        <w:tc>
          <w:tcPr>
            <w:tcW w:w="206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206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206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206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206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206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206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206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c>
          <w:tcPr>
            <w:tcW w:w="2063"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Evergy investments at NAV</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pPr>
      <w:r>
        <w:rPr>
          <w:rFonts w:ascii="Times New Roman;serif" w:hAnsi="Times New Roman;serif"/>
          <w:b w:val="false"/>
          <w:color w:val="000000"/>
          <w:sz w:val="12"/>
        </w:rPr>
        <w:t>(a)</w:t>
      </w:r>
      <w:r>
        <w:rPr>
          <w:rFonts w:ascii="Times New Roman;serif" w:hAnsi="Times New Roman;serif"/>
          <w:b w:val="false"/>
          <w:color w:val="000000"/>
          <w:sz w:val="18"/>
        </w:rPr>
        <w:t>This investment is in four long-term private equity funds that do not permit early withdrawal. Investments in these funds cannot be distributed until the underlying investments have been liquidated, which may take years from the date of initial liquidation. All funds have begun to make distributions.</w:t>
      </w:r>
    </w:p>
    <w:p>
      <w:pPr>
        <w:pStyle w:val="TextBody"/>
        <w:bidi w:val="0"/>
        <w:spacing w:lineRule="auto" w:line="288" w:before="0" w:after="240"/>
        <w:ind w:left="0" w:right="0" w:hanging="180"/>
        <w:jc w:val="left"/>
      </w:pPr>
      <w:r>
        <w:rPr>
          <w:rFonts w:ascii="Times New Roman;serif" w:hAnsi="Times New Roman;serif"/>
          <w:b w:val="false"/>
          <w:color w:val="000000"/>
          <w:sz w:val="12"/>
        </w:rPr>
        <w:t>(b)</w:t>
      </w:r>
      <w:r>
        <w:rPr>
          <w:rFonts w:ascii="Times New Roman;serif" w:hAnsi="Times New Roman;serif"/>
          <w:b w:val="false"/>
          <w:color w:val="000000"/>
          <w:sz w:val="18"/>
        </w:rPr>
        <w:t xml:space="preserve">There is a holdback on final redemptions.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net unrealized gains (losses) for the Evergy Companies' nuclear decommissioning trusts and rabbi trusts. </w:t>
      </w:r>
    </w:p>
    <w:tbl>
      <w:tblPr>
        <w:tblW w:w="9200" w:type="dxa"/>
        <w:jc w:val="center"/>
        <w:tblInd w:w="0" w:type="dxa"/>
        <w:tblLayout w:type="fixed"/>
        <w:tblCellMar>
          <w:top w:w="28" w:type="dxa"/>
          <w:left w:w="28" w:type="dxa"/>
          <w:bottom w:w="28" w:type="dxa"/>
          <w:right w:w="28" w:type="dxa"/>
        </w:tblCellMar>
      </w:tblPr>
      <w:tblGrid>
        <w:gridCol w:w="1493"/>
        <w:gridCol w:w="1311"/>
        <w:gridCol w:w="1321"/>
        <w:gridCol w:w="109"/>
        <w:gridCol w:w="109"/>
        <w:gridCol w:w="109"/>
        <w:gridCol w:w="211"/>
        <w:gridCol w:w="586"/>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09"/>
        <w:gridCol w:w="109"/>
        <w:gridCol w:w="154"/>
      </w:tblGrid>
      <w:tr>
        <w:tc>
          <w:tcPr>
            <w:tcW w:w="149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Rabbi trusts -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Rabbi trust -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decommissioning trust -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12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11. COMMITMENTS AND CONTINGENCIES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Environmental Matters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regulations, interpretations and actions can also change, restrict or otherwise impact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operations or financial results. The failure to comply with these laws, regulations, interpretations and actions could result in the assessment of administrative, civil and criminal penalties and the imposition of remedial requirements. The Evergy Companies believe that all their operations are in substantial compliance with current federal, state and local environmental standards. There are a variety of final and proposed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 xml:space="preserve">Ozone Interstate Transport State and Federal Implementation Plans </w:t>
      </w:r>
    </w:p>
    <w:p>
      <w:pPr>
        <w:pStyle w:val="TextBody"/>
        <w:bidi w:val="0"/>
        <w:spacing w:lineRule="auto" w:line="288" w:before="0" w:after="240"/>
        <w:jc w:val="left"/>
      </w:pPr>
      <w:r>
        <w:rPr>
          <w:rFonts w:ascii="Times New Roman;serif" w:hAnsi="Times New Roman;serif"/>
          <w:b w:val="false"/>
          <w:color w:val="000000"/>
          <w:sz w:val="22"/>
        </w:rPr>
        <w:t>In 2015, the Environmental Protection Agency (EPA) lowered the Ozone National Ambient Air Quality Standards (NAAQS) and in 2018 required states to submit Interstate Transport State Implementation Plans (ITSIPs) to comply with the "Good Neighbor Provision" of the Clean Air Act (CAA). Several states, including Missouri, Kansas and Oklahoma submitted ITSIPs. The EPA disapproved ITSIPs for multiple states, including Missouri and Oklahoma, while initially approving the Kansas ITSIP. Disapproval of ITSIPs provides the EPA with authority to implement an Interstate Transport Federal Implementation Plan (ITFIP) to replace them. In April 2022, the EPA published in the Federal Register the proposed ITFIP to resolve outstanding "Good Neighbor" obligations for several states, including Missouri and Oklahoma. In March 2023, the EPA issued a final ITFIP for multiple states, including Missouri and Oklahoma, which imposed reduced ozone season nitrogen oxide (NO</w:t>
      </w:r>
      <w:r>
        <w:rPr>
          <w:rFonts w:ascii="Times New Roman;serif" w:hAnsi="Times New Roman;serif"/>
          <w:b w:val="false"/>
          <w:color w:val="000000"/>
          <w:sz w:val="14"/>
        </w:rPr>
        <w:t>x</w:t>
      </w:r>
      <w:r>
        <w:rPr>
          <w:rFonts w:ascii="Times New Roman;serif" w:hAnsi="Times New Roman;serif"/>
          <w:b w:val="false"/>
          <w:color w:val="000000"/>
          <w:sz w:val="22"/>
        </w:rPr>
        <w:t>) budgets for Electric Generating Units (EGUs) and imposed more stringent ozone season NO</w:t>
      </w:r>
      <w:r>
        <w:rPr>
          <w:rFonts w:ascii="Times New Roman;serif" w:hAnsi="Times New Roman;serif"/>
          <w:b w:val="false"/>
          <w:color w:val="000000"/>
          <w:sz w:val="14"/>
        </w:rPr>
        <w:t>x</w:t>
      </w:r>
      <w:r>
        <w:rPr>
          <w:color w:val="000000"/>
        </w:rPr>
        <w:t xml:space="preserve"> </w:t>
      </w:r>
      <w:r>
        <w:rPr>
          <w:rFonts w:ascii="Times New Roman;serif" w:hAnsi="Times New Roman;serif"/>
          <w:b w:val="false"/>
          <w:color w:val="000000"/>
          <w:sz w:val="22"/>
        </w:rPr>
        <w:t xml:space="preserve">emission limits. In April 2023, Missouri and Oklahoma challenged the EPA's ITSIP disapprovals and federal appellate courts subsequently stayed the disapprovals for both states. Due to judicial stays of the EPA's ITSIP disapprovals, the statutory conditions required to impose an ITFIP were not satisfied at that time. As a result, Missouri and Oklahoma continue to operate under the existing Cross-State Air Pollution Rule (CSAPR).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January 2024, the EPA proposed to disapprove the previously approved ITSIPs for several states, including Kansas, which would cause Kansas to be subject to the ITFIP; however, final action has not taken place on this rulemaking. In June 2024, the U.S. Supreme Court issued an order granting emergency motions for stay of the final ITFIP pending further review of the ITFIP by the U.S. Court of Appeals for the D.C. Circuit (D.C. Circuit). In March 2025, the EPA announced plans to end the Good Neighbor Rule for the 2015 Ozone NAAQS. In April 2025, the D.C. Circuit granted an EPA request to hold all challenges to the ITFIP in indefinite abeyance.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January 2026, the EPA published in the Federal Register a proposed "Phase 1" reconsideration rule addressing interstate transport requirements for the 2015 NAAQS for Ozone for ten states, including Kansas. The EPA indicated they intend to address additional states, including Missouri, in a separate action. The Phase 1 proposal would withdraw the EPA's proposed disapproval of the ITSIP submissions for five states, including Kansas. As a result, Kansas would be governed by its ITSIP and would not be subject to an ITFIP if this rule is finalized. Until this and future proposals and associated litigation are finalized, the full impact on the Evergy Companies' operations cannot be determined and the cost to comply could be material.</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Particulate Matter National Ambient Air Quality Standards</w:t>
      </w:r>
    </w:p>
    <w:p>
      <w:pPr>
        <w:pStyle w:val="TextBody"/>
        <w:bidi w:val="0"/>
        <w:spacing w:lineRule="auto" w:line="288" w:before="0" w:after="240"/>
        <w:jc w:val="left"/>
      </w:pPr>
      <w:r>
        <w:rPr>
          <w:rFonts w:ascii="Times New Roman;serif" w:hAnsi="Times New Roman;serif"/>
          <w:b w:val="false"/>
          <w:color w:val="000000"/>
          <w:sz w:val="22"/>
        </w:rPr>
        <w:t>In March 2024, the EPA published in the Federal Register the final rule which strengthens the primary annual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(particulate matter less than 2.5 microns in diameter) NAAQS by lowering the primary annual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from 12.0 μg/m</w:t>
      </w:r>
      <w:r>
        <w:rPr>
          <w:rFonts w:ascii="Times New Roman;serif" w:hAnsi="Times New Roman;serif"/>
          <w:b w:val="false"/>
          <w:color w:val="000000"/>
          <w:sz w:val="14"/>
        </w:rPr>
        <w:t>3</w:t>
      </w:r>
      <w:r>
        <w:rPr>
          <w:color w:val="000000"/>
        </w:rPr>
        <w:t xml:space="preserve"> </w:t>
      </w:r>
      <w:r>
        <w:rPr>
          <w:rFonts w:ascii="Times New Roman;serif" w:hAnsi="Times New Roman;serif"/>
          <w:b w:val="false"/>
          <w:color w:val="000000"/>
          <w:sz w:val="22"/>
        </w:rPr>
        <w:t>(micrograms per cubic meter) to 9.0 μg/m</w:t>
      </w:r>
      <w:r>
        <w:rPr>
          <w:rFonts w:ascii="Times New Roman;serif" w:hAnsi="Times New Roman;serif"/>
          <w:b w:val="false"/>
          <w:color w:val="000000"/>
          <w:sz w:val="14"/>
        </w:rPr>
        <w:t>3</w:t>
      </w:r>
      <w:r>
        <w:rPr>
          <w:rFonts w:ascii="Times New Roman;serif" w:hAnsi="Times New Roman;serif"/>
          <w:b w:val="false"/>
          <w:color w:val="000000"/>
          <w:sz w:val="22"/>
        </w:rPr>
        <w:t>. The final rule took effect in May 2024. In March 2025, the EPA announced its plans to reconsider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In November 2025, the EPA filed a motion requesting that the D.C. Circuit vacate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asserting that the prior presidential administration's EPA failed to consider costs during its revision process and therefore did not conduct a thorough review, as required. In June 2026, the D.C. Circuit rejected those arguments, upheld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and denied the EPA's motion for vacatur, leaving the 9.0 μg/m</w:t>
      </w:r>
      <w:r>
        <w:rPr>
          <w:rFonts w:ascii="Times New Roman;serif" w:hAnsi="Times New Roman;serif"/>
          <w:b w:val="false"/>
          <w:color w:val="000000"/>
          <w:sz w:val="14"/>
        </w:rPr>
        <w:t xml:space="preserve">3 </w:t>
      </w:r>
      <w:r>
        <w:rPr>
          <w:rFonts w:ascii="Times New Roman;serif" w:hAnsi="Times New Roman;serif"/>
          <w:b w:val="false"/>
          <w:color w:val="000000"/>
          <w:sz w:val="22"/>
        </w:rPr>
        <w:t>standard in effect. In July 2026, following litigation over missed statutory deadlines, the U.S. District Court for the Northern District of California ordered the EPA to finalize attainment designations for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by February 2027. Due to the uncertainty of the attainment status of portions of the Evergy Companies' service territory, the Evergy Companies are unable to accurately assess the impacts on their operations or consolidated financial results, but the cost to potentially comply with the 2024 PM</w:t>
      </w:r>
      <w:r>
        <w:rPr>
          <w:rFonts w:ascii="Times New Roman;serif" w:hAnsi="Times New Roman;serif"/>
          <w:b w:val="false"/>
          <w:color w:val="000000"/>
          <w:sz w:val="14"/>
        </w:rPr>
        <w:t>2.5</w:t>
      </w:r>
      <w:r>
        <w:rPr>
          <w:color w:val="000000"/>
        </w:rPr>
        <w:t xml:space="preserve"> </w:t>
      </w:r>
      <w:r>
        <w:rPr>
          <w:rFonts w:ascii="Times New Roman;serif" w:hAnsi="Times New Roman;serif"/>
          <w:b w:val="false"/>
          <w:color w:val="000000"/>
          <w:sz w:val="22"/>
        </w:rPr>
        <w:t>NAAQS could be material.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Regional Haze Rule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1999, the EPA finalized the Regional Haze Rule which requires states, in coordination with the EPA and other parties, to develop and implement air quality protection plans to reduce the pollution that causes visibility impairment in "Class I" national parks and wilderness areas. There are 156 Class I areas across the U.S. that must be restored to pristine conditions by the year 2064. Kansas has no Class I areas, while Missouri has two: the Hercules-Glades Wilderness Area and the Mingo Wilderness Area. States are required to submit revisions to their State Implementation Plans (SIPs) every ten years and the first round was due in 2007.</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Missouri Department of Natural Resources (MDNR) failed to submit a Missouri SIP revision to the EPA by the EPA's revised submittal deadline in August 2022 resulting in a "finding of failure". This finding of failure established a two-year deadline for the EPA to issue a Regional Haze Federal Implementation Plan (FIP) unless a revised SIP is approved. In July 2024, the EPA published in the Federal Register a proposal to partially approve and partially disapprove Missouri's Regional Haze SIP revision.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August 2024, the EPA issued final disapproval of the Kansas Department of Health and Environment's (KDHE) July 2021 SIP revision for failing to conduct certain required analyses. In January 2026, the KDHE submitted a supplemental SIP revision to the EPA addressing those deficiencies, including analyses of Evergy's La Cygne Station, and determined no additional requirements should be necessary for any Kansas emission source.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March 2025, the EPA announced plans to restructure the Regional Haze Program and in October 2025, the EPA published a Notice of Proposed Advanced Rulemaking requesting comments to assist in the development of regulatory changes to the current Regional Haze Program. In December 2025, the EPA issued a final rule extending the SIP revision deadline for the third ten-year implementation period from July 2028 to July 2031. Due to uncertainty regarding the status of the Regional Haze Program and when or if a Kansas or Missouri SIP or FIP is finalized, the overall costs of implementing the rules could be material to the Evergy Companies.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Greenhouse Gases</w:t>
      </w:r>
    </w:p>
    <w:p>
      <w:pPr>
        <w:pStyle w:val="TextBody"/>
        <w:bidi w:val="0"/>
        <w:spacing w:lineRule="auto" w:line="288" w:before="0" w:after="240"/>
        <w:jc w:val="left"/>
      </w:pPr>
      <w:r>
        <w:rPr>
          <w:rFonts w:ascii="Times New Roman;serif" w:hAnsi="Times New Roman;serif"/>
          <w:b w:val="false"/>
          <w:color w:val="000000"/>
          <w:sz w:val="22"/>
        </w:rPr>
        <w:t>Burning fossil fuels releases carbon dioxide (CO</w:t>
      </w:r>
      <w:r>
        <w:rPr>
          <w:rFonts w:ascii="Times New Roman;serif" w:hAnsi="Times New Roman;serif"/>
          <w:b w:val="false"/>
          <w:color w:val="000000"/>
          <w:sz w:val="14"/>
        </w:rPr>
        <w:t>2</w:t>
      </w:r>
      <w:r>
        <w:rPr>
          <w:rFonts w:ascii="Times New Roman;serif" w:hAnsi="Times New Roman;serif"/>
          <w:b w:val="false"/>
          <w:color w:val="000000"/>
          <w:sz w:val="22"/>
        </w:rPr>
        <w:t>) and other greenhouse gases (GHG). In 2015, the EPA established new GHG emission standards for fossil-fuel fired EGUs under the CAA. In April 2024, the EPA finalized new GHG emission guidelines that set CO</w:t>
      </w:r>
      <w:r>
        <w:rPr>
          <w:rFonts w:ascii="Times New Roman;serif" w:hAnsi="Times New Roman;serif"/>
          <w:b w:val="false"/>
          <w:color w:val="000000"/>
          <w:sz w:val="14"/>
        </w:rPr>
        <w:t>2</w:t>
      </w:r>
      <w:r>
        <w:rPr>
          <w:color w:val="000000"/>
        </w:rPr>
        <w:t xml:space="preserve"> </w:t>
      </w:r>
      <w:r>
        <w:rPr>
          <w:rFonts w:ascii="Times New Roman;serif" w:hAnsi="Times New Roman;serif"/>
          <w:b w:val="false"/>
          <w:color w:val="000000"/>
          <w:sz w:val="22"/>
        </w:rPr>
        <w:t xml:space="preserve">emission limitations for new and existing fossil-fuel EGUs. In June 2025, the EPA published a proposed rule to repeal both the 2015 GHG emission standards and the April 2024 GHG emission standards. In the same June 2025 proposed rule, the EPA included an alternative proposal to repeal the most burdensome requirements of the 2024 rule including the elimination of carbon capture and sequestration (CCS). In February 2026, the EPA issued a final rule rescinding the 2009 GHG Endangerment Finding (Endangerment Finding). The Endangerment Finding applies to GHG emissions from new motor vehicles and also provides justification for declaring GHG emissions as a threat to public health and welfare, thereby establishing the basis for regulating GHG emission under the CAA. The rescission of the Endangerment Finding may be used in future rulemaking by the EPA to justify discontinuing the regulation of GHG emissions from the power sector. In September 2026, the EPA issued a final rule partially repealing the 2024 rule, including the emission guidelines for existing fossil-fuel steam generating units and certain CCS based standards for new and modified units. While this action reduces the Evergy Companies' anticipated compliance obligations, administrative or judicial action could reinstate or preserve some or all of the requirements, which could materially impact the Evergy Companies' operations or consolidated financial results.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Regulation of Coal Combustion Residuals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the course of operating their coal generation plants, the Evergy Companies produce coal combustion residuals (CCRs), including fly ash, gypsum and bottom ash. The EPA published a rule to regulate CCRs in April 2015 that requires additional CCR handling, processing and storage equipment and closure of certain ash disposal units. In April 2024, the EPA finalized an expansion to the CCR regulations focused on legacy surface impoundments and historic placements of CCR. This regulation expands applicability of the 2015 CCR regulation to inactive landfills and beneficial use sites not previously regulated. Litigation could impact the timing or cost to comply. In March 2025, the EPA announced its plans to update the regulations that apply to CCRs, and in January 2026, finalized a rulemaking extending deadlines for compliance with various aspects of the CCR legacy rule. In April 2026, the EPA released a second proposed update to the CCR regulations which requests comment on a number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modifications, including, rescinding the CCR management unit requirements, providing a site-specific approach to CCR unit closure and groundwater monitoring and clarifying the allowed uses of CCR in beneficial uses. It is expected that the EPA will finalize this regulation in late 2026. The Evergy Companies are reviewing this proposal and cannot predict the contents of the final rulemaking.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have recorded asset retirement obligations (AROs) for their current estimates for the closure of ash disposal ponds, landfills and other historical placements of CCR. The revision of these AROs may be required in the future due to information collected in the CCR legacy rule regulation's Facility Evaluation Reports (FERs), changes in existing CCR regulations, the results of groundwater monitoring of CCR units, changes in interpretation of existing CCR regulations or changes in the timing or cost to close ash disposal ponds and landfills. The revision of AROs for regulated operations has no income statement impact due to the deferral of the adjustments through a regulatory asset. If revisions to these AROs are necessary, the impact on the Evergy Companies' operations or consolidated financial results could be material.</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Montrose Station CCRs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2025, three lawsuits, including one seeking class certification, were filed in the Circuit Court of Henry County, Missouri against Evergy Metro and two other defendants alleging unspecified damages resulting from the defendants' alleged unlawful and negligent spreading of CCRs associated with the Montrose Station coal ash landfill. Montrose Station was a coal-fired generating facility which was operated by Evergy Metro until its closure in 2018. Evergy and Evergy Metro are unable to assess the outcome or reasonably estimate any possible damages with respect to the claims. However, Evergy and Evergy Metro believe the claims are without merit and intend to vigorously defend themselves.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Other Matters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Nuclear Antitrust Class Action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July 2025, a class action complaint was filed in the U.S. District Court for the District of Maryland alleging violations of the Sherman Antitrust Act in establishing wages for employees at nuclear facilities since 2003. The complaint names 28 defendants, including all 26 owner operators of nuclear facilities in the United States, or affiliated entities, including Wolf Creek Nuclear Operating Corporation, which operates Wolf Creek, a nuclear facility in Kansas. Evergy indirectly owns 94% of Wolf Creek, with Evergy Kansas Central and Evergy Metro each owning 47% of the nuclear facility. In August 2026, the case was dismissed without prejudice by the U.S. District Court for the District of Maryland. In September 2026, the plaintiffs filed a motion requesting the court's permission to file an amended complaint, which was granted in October 2026. The Evergy Companies are unable to assess the outcome or reasonably estimate any possible damages with respect to the claims. However, the Evergy Companies believe the claims are without merit and intend to vigorously defend themselves.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Generation Development Agreement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part of Evergy's generation development activities, the Evergy Companies enter into contractual commitments associated with the development and potential acquisition of new generation resources. The Evergy Companies have an agreement with a third-party developer regarding the potential development and acquisition of a generation facility. Under this agreement, if the Evergy Companies elect not to proceed with the project by an applicable deadline, the Evergy Companies could incur a loss of approximately $102 million, representing payments to the third-party developer for costs related to the project. In the event of a decision by the Evergy Companies not to proceed, the agreement includes provisions obligating the third-party developer to seek alternatives for the project or the project assets and would allow the Evergy Companies to recover a share of the payments made to the third-party developer if the developer is able to redeploy some or all of the project assets. A decision on this project could be made at any time but is expected in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12. RELATED PARTY TRANSACTIONS AND RELATIONSHIPS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the normal course of business, Evergy Kansas Central, Evergy Metro and Evergy Missouri West engage in related party transactions with one another. In addition, Evergy Kansas Central, Evergy Metro and Evergy Missouri West engage in the construction of jointly-owned generation facilities. A summary of these related party transactions and the amounts associated with them is provided below.</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Jointly-Owned Plants and Shared Services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Employees of Evergy Kansas Central and Evergy Metro manage Evergy Missouri West's business and operate its facilities at cost, including Evergy Missouri West's 18% ownership interest in Evergy Metro's Iatan Nos. 1 and 2.  Employees of Evergy Kansas Central manage Jeffrey Energy Center (JEC) and operate its facilities at cost, including Evergy Missouri West's 8% ownership interest in JEC. Employees of Evergy Metro manage La Cygne Station and operate its facilities at cost, including Evergy Kansas Central's 50% interest in La Cygne Station. Employees of Evergy Metro and Evergy Kansas Central also provide one another with shared service support, including costs related to human resources, information technology, accounting and legal services.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operating expenses and capital costs, including construction of new generating facilities, billed for jointly-owned plants and billings for shared services are detailed in the following table.</w:t>
      </w:r>
    </w:p>
    <w:tbl>
      <w:tblPr>
        <w:tblW w:w="9905" w:type="dxa"/>
        <w:jc w:val="left"/>
        <w:tblInd w:w="0" w:type="dxa"/>
        <w:tblLayout w:type="fixed"/>
        <w:tblCellMar>
          <w:top w:w="28" w:type="dxa"/>
          <w:left w:w="28" w:type="dxa"/>
          <w:bottom w:w="28" w:type="dxa"/>
          <w:right w:w="28" w:type="dxa"/>
        </w:tblCellMar>
      </w:tblPr>
      <w:tblGrid>
        <w:gridCol w:w="1697"/>
        <w:gridCol w:w="1496"/>
        <w:gridCol w:w="1502"/>
        <w:gridCol w:w="109"/>
        <w:gridCol w:w="109"/>
        <w:gridCol w:w="109"/>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09"/>
        <w:gridCol w:w="109"/>
        <w:gridCol w:w="154"/>
      </w:tblGrid>
      <w:tr>
        <w:tc>
          <w:tcPr>
            <w:tcW w:w="169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9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3" w:type="dxa"/>
            <w:gridSpan w:val="2"/>
            <w:tcBorders/>
          </w:tcPr>
          <w:p>
            <w:pPr>
              <w:pStyle w:val="TableContents"/>
              <w:bidi w:val="0"/>
              <w:spacing w:before="0" w:after="283"/>
              <w:jc w:val="left"/>
              <w:rPr>
                <w:sz w:val="4"/>
                <w:szCs w:val="4"/>
              </w:rPr>
            </w:pPr>
            <w:r>
              <w:rPr>
                <w:sz w:val="4"/>
                <w:szCs w:val="4"/>
              </w:rPr>
            </w:r>
          </w:p>
        </w:tc>
      </w:tr>
      <w:t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 billings to Evergy Missouri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 billings to Evergy Missouri West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 billings to 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69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 billings to Evergy Kansas Central</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Related Party Net Receivables and Payables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 Kansas Central's and Evergy Metro's related party net receivables and payables.</w:t>
      </w:r>
    </w:p>
    <w:tbl>
      <w:tblPr>
        <w:tblW w:w="7793" w:type="dxa"/>
        <w:jc w:val="center"/>
        <w:tblInd w:w="0" w:type="dxa"/>
        <w:tblLayout w:type="fixed"/>
        <w:tblCellMar>
          <w:top w:w="28" w:type="dxa"/>
          <w:left w:w="28" w:type="dxa"/>
          <w:bottom w:w="28" w:type="dxa"/>
          <w:right w:w="28" w:type="dxa"/>
        </w:tblCellMar>
      </w:tblPr>
      <w:tblGrid>
        <w:gridCol w:w="1671"/>
        <w:gridCol w:w="1472"/>
        <w:gridCol w:w="1476"/>
        <w:gridCol w:w="109"/>
        <w:gridCol w:w="109"/>
        <w:gridCol w:w="109"/>
        <w:gridCol w:w="313"/>
        <w:gridCol w:w="783"/>
        <w:gridCol w:w="164"/>
        <w:gridCol w:w="109"/>
        <w:gridCol w:w="109"/>
        <w:gridCol w:w="109"/>
        <w:gridCol w:w="298"/>
        <w:gridCol w:w="743"/>
        <w:gridCol w:w="219"/>
      </w:tblGrid>
      <w:tr>
        <w:tc>
          <w:tcPr>
            <w:tcW w:w="1671"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4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46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payable to Evergy,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(payable to) Evergy Metro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Evergy Missouri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Evergy,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(payable to) Evergy Kansas Central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6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receivable from Evergy Missouri West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6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1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Money Pool</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Kansas Central, Evergy Metro and Evergy Missouri West are authorized to participate in the Evergy, Inc. money pool, which is an internal financing arrangement in which funds may be lent on a short-term basis between Evergy Kansas Central, Evergy Metro, Evergy Missouri West and Evergy, Inc. Evergy, Inc. can lend but not borrow under the money pool.</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As of September 30, 2026 and December 31, 2025, Evergy Kansas Central and Evergy Metro had no outstanding receivables or payables under the money pool.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Tax Allocation Agreement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The following table summarizes Evergy Kansas Central's and Evergy Metro's income taxes receivable from (payable to) Evergy.</w:t>
      </w:r>
    </w:p>
    <w:tbl>
      <w:tblPr>
        <w:tblW w:w="7704" w:type="dxa"/>
        <w:jc w:val="left"/>
        <w:tblInd w:w="0" w:type="dxa"/>
        <w:tblLayout w:type="fixed"/>
        <w:tblCellMar>
          <w:top w:w="28" w:type="dxa"/>
          <w:left w:w="28" w:type="dxa"/>
          <w:bottom w:w="28" w:type="dxa"/>
          <w:right w:w="28" w:type="dxa"/>
        </w:tblCellMar>
      </w:tblPr>
      <w:tblGrid>
        <w:gridCol w:w="1638"/>
        <w:gridCol w:w="1444"/>
        <w:gridCol w:w="1448"/>
        <w:gridCol w:w="109"/>
        <w:gridCol w:w="109"/>
        <w:gridCol w:w="109"/>
        <w:gridCol w:w="313"/>
        <w:gridCol w:w="783"/>
        <w:gridCol w:w="164"/>
        <w:gridCol w:w="109"/>
        <w:gridCol w:w="109"/>
        <w:gridCol w:w="109"/>
        <w:gridCol w:w="298"/>
        <w:gridCol w:w="743"/>
        <w:gridCol w:w="219"/>
      </w:tblGrid>
      <w:tr>
        <w:tc>
          <w:tcPr>
            <w:tcW w:w="1638"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c>
          <w:tcPr>
            <w:tcW w:w="45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5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Kansas Central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from (payable to) Evergy,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Evergy Metro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 from (payable to) Evergy, Inc.</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6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8"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1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13. SHAREHOLDERS' EQUITY</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ATM Program</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May 2025, Evergy entered into an equity distribution agreement, pursuant to which Evergy may sell, from time to time, up to an aggregate of $1.2 billion of its common stock through an ATM Program, which may utilize forward sales agreements. Evergy subsequently entered into forward sale agreements under the ATM Program and as of September 30, 2026, the ATM Program had approximately $0.5 billion of common stock available for issuance. The forward sale agreements have been classified as equity transactions.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September 2026, Evergy issued approximately 3.9 million shares of common stock and received net proceeds of approximately $321.2 million. The proceeds were recorded in equity. Evergy subsequently transferred $321.0 million of the proceeds to Evergy Missouri West as a capital contribution, which Evergy Missouri West used to pay down commercial paper borrowings.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forward sale agreements outstanding as of September 30, 2026, can be settled at Evergy’s discretion on or prior to dates ranging from March 2027 to October 2028. On a settlement date or dates, if Evergy elects to physically settle a forward sale agreement, Evergy will issue shares of common stock to the counterparties at the then-applicable forward sale price. The initial forward sale price for the outstanding agreements ranged from $71.29 to $81.55, with a weighted average initial forward sale price of $77.42. The initial forward sale price is subject to adjustment on a daily basis based on an interest rate factor and decreased on certain dates by predetermined amounts to reflect expected dividend payments. The forward sale agreements will be physically settled unless Evergy elects to settle in cash or to net share settle. At September 30, 2026, Evergy could have settled the outstanding forward sale agreements with physical delivery of 4.7 million shares of common stock to the respective counterparties in exchange for cash of $363.5 million. Alternatively, the forward sale agreements could have been settled at September 30, 2026, with delivery of approximately $8.8 million of cash or approximately 0.1 million shares of common stock to the counterparties, if Evergy elected net cash or net share settlement,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14. TAXES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Effective Income Tax Rates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Evergy Companies' effective income tax rates reflected in the financial statements are included in the following table. </w:t>
      </w:r>
    </w:p>
    <w:tbl>
      <w:tblPr>
        <w:tblW w:w="7640" w:type="dxa"/>
        <w:jc w:val="left"/>
        <w:tblInd w:w="0" w:type="dxa"/>
        <w:tblLayout w:type="fixed"/>
        <w:tblCellMar>
          <w:top w:w="28" w:type="dxa"/>
          <w:left w:w="28" w:type="dxa"/>
          <w:bottom w:w="28" w:type="dxa"/>
          <w:right w:w="28" w:type="dxa"/>
        </w:tblCellMar>
      </w:tblPr>
      <w:tblGrid>
        <w:gridCol w:w="708"/>
        <w:gridCol w:w="624"/>
        <w:gridCol w:w="632"/>
        <w:gridCol w:w="292"/>
        <w:gridCol w:w="219"/>
        <w:gridCol w:w="389"/>
        <w:gridCol w:w="156"/>
        <w:gridCol w:w="156"/>
        <w:gridCol w:w="156"/>
        <w:gridCol w:w="292"/>
        <w:gridCol w:w="219"/>
        <w:gridCol w:w="389"/>
        <w:gridCol w:w="109"/>
        <w:gridCol w:w="109"/>
        <w:gridCol w:w="109"/>
        <w:gridCol w:w="292"/>
        <w:gridCol w:w="219"/>
        <w:gridCol w:w="492"/>
        <w:gridCol w:w="198"/>
        <w:gridCol w:w="198"/>
        <w:gridCol w:w="198"/>
        <w:gridCol w:w="292"/>
        <w:gridCol w:w="219"/>
        <w:gridCol w:w="492"/>
        <w:gridCol w:w="109"/>
        <w:gridCol w:w="109"/>
        <w:gridCol w:w="109"/>
        <w:gridCol w:w="154"/>
      </w:tblGrid>
      <w:tr>
        <w:tc>
          <w:tcPr>
            <w:tcW w:w="70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0"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to Date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Kansas Central</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96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Evergy Metro</w:t>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8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8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49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492" w:type="dxa"/>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Evergy's effective income tax rate increased for the three months ended September 30, 2026, compared to the same period in 2025, primarily due to a decrease in the amortization of federal and state excess deferred income taxes (EDIT) relative to pre-tax income.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Kansas Central's effective income tax rate increased for the three months ended September 30, 2026, compared to the same period in 2025, primarily due to a decrease related to energy production tax credits relative to pre-tax income.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Metro's effective income tax rate increased for the three months ended September 30, 2026, compared to the same period in 2025, primarily due to a decrease in the amortization of federal and state EDIT and other income tax credits.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Evergy's effective income tax rate increased year to date September 30, 2026, compared to the same period in 2025, primarily due to a decrease in the amortization of federal EDIT relative to pre-tax income.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Kansas Central's effective income tax rate increased year to date September 30, 2026, compared to the same period in 2025, primarily due to a decrease in the amortization of federal EDIT.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Metro's effective income tax rate increased year to date September 30, 2026, compared to the same period in 2025, primarily due to a decrease in the amortization of federal EDIT.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Nuclear Production Tax Credits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2022, the Inflation Reduction Act (IRA) was signed into law providing a transferable Production Tax Credit (PTC) for electricity produced by existing nuclear power plants. Beginning in 2024, nuclear units, including Wolf Creek, became eligible for a production tax credit through 2032. In October 2026, Evergy Kansas Central and Evergy Metro sold nuclear production tax credits generated in 2025 to a third party and received cash proceeds of $124.2 million. Evergy Kansas Central and Evergy Metro each received $62.1 million. In Kansas, pursuant to nuclear PTC refund riders approved by the KCC, the benefits associated with the nuclear PTCs, including carrying costs, will be returned to customers through monthly bill credits over a three-year period beginning in the first quarter of 2027. In Missouri, Evergy Metro's pending rate case with the MPSC will address the return of its nuclear PTC benefits to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15. SEGMENT INFORMATION</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chief operating decision maker is Evergy's President and Chief Executive Officer. The chief operating decision maker assesses Evergy's performance based on consolidated net income attributable to Evergy, Inc. (i.e., Evergy operates in a single reportable segment) and uses consolidated net income attributable to Evergy, Inc. to make resource allocation decisions and to compare actual results to budget. The measures of segment assets and expenditures for additions to long-lived assets are reported as total assets on the consolidated balance sheet and additions to property, plant and equipment on the consolidated statement of cash flows, respectively. See Note 1 for additional information regarding the operations of Evergy. This segment information is detailed in the following table.</w:t>
      </w:r>
    </w:p>
    <w:tbl>
      <w:tblPr>
        <w:tblW w:w="10205" w:type="dxa"/>
        <w:jc w:val="left"/>
        <w:tblInd w:w="0" w:type="dxa"/>
        <w:tblLayout w:type="fixed"/>
        <w:tblCellMar>
          <w:top w:w="28" w:type="dxa"/>
          <w:left w:w="28" w:type="dxa"/>
          <w:bottom w:w="28" w:type="dxa"/>
          <w:right w:w="28" w:type="dxa"/>
        </w:tblCellMar>
      </w:tblPr>
      <w:tblGrid>
        <w:gridCol w:w="1632"/>
        <w:gridCol w:w="1324"/>
        <w:gridCol w:w="1332"/>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56"/>
      </w:tblGrid>
      <w:tr>
        <w:tc>
          <w:tcPr>
            <w:tcW w:w="1632"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265" w:type="dxa"/>
            <w:gridSpan w:val="2"/>
            <w:tcBorders/>
          </w:tcPr>
          <w:p>
            <w:pPr>
              <w:pStyle w:val="TableContents"/>
              <w:bidi w:val="0"/>
              <w:spacing w:before="0" w:after="283"/>
              <w:jc w:val="left"/>
              <w:rPr>
                <w:sz w:val="4"/>
                <w:szCs w:val="4"/>
              </w:rPr>
            </w:pPr>
            <w:r>
              <w:rPr>
                <w:sz w:val="4"/>
                <w:szCs w:val="4"/>
              </w:rPr>
            </w:r>
          </w:p>
        </w:tc>
      </w:tr>
      <w:t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customer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Other segment items, including benefit costs</w:t>
            </w:r>
            <w:r>
              <w:rPr>
                <w:rFonts w:ascii="Times New Roman;serif" w:hAnsi="Times New Roman;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Plus: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equity method investees, net of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 xml:space="preserve">Other segment items include benefits expense associated with Operations, Customer and Support employees, regulatory amortization expense, expense associated with energy efficiency programs and credit loss expense, among other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combined Management's Discussion and Analysis of Financial Condition and Results of Operations (MD&amp;A) should be read in conjunction with the consolidated financial statements and accompanying notes in this combined Quarterly Report on Form 10-Q and the Evergy Companies' combined 2025 Form 10-K. None of the registrants make any representation as to information related solely to Evergy, Evergy Kansas Central or Evergy Metro other than itself.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EVERGY, INC.</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EXECUTIVE SUMMARY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is a public utility holding company incorporated in 2017 and headquartered in Kansas City, Missouri. Evergy operates primarily through the following wholly-owned direct subsidiaries listed below.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Evergy Kansas Central is an integrated, regulated electric utility that provides electricity to customers in the state of Kansas. Evergy Kansas Central has one active wholly-owned subsidiary with significant operations, Evergy Kansas South.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Evergy Metro is an integrated, regulated electric utility that provides electricity to customers in the states of Missouri and Kansas.</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Evergy Missouri West is an integrated, regulated electric utility that provides electricity to customers in the state of Missouri.</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 xml:space="preserve">Evergy Transmission Company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 Evergy Kansas South, Evergy Metro and Evergy Missouri West conduct business in their respective service territories using the name Evergy. Collectively, the Evergy Companies have approximately 15,800 MWs of owned generating capacity and renewable power purchase agreements and engage in the generation, transmission, distribution and sale of electricity to approximately 1.7 million customers in the states of Kansas and Missouri. The Evergy Companies assess financial performance and allocate resources on a consolidated basis (i.e., operate in one segment).</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Missouri West's 2026 Rate Case Proceeding</w:t>
      </w:r>
    </w:p>
    <w:p>
      <w:pPr>
        <w:pStyle w:val="TextBody"/>
        <w:bidi w:val="0"/>
        <w:spacing w:lineRule="auto" w:line="288" w:before="0" w:after="240"/>
        <w:jc w:val="left"/>
      </w:pPr>
      <w:r>
        <w:rPr>
          <w:rFonts w:ascii="Times New Roman;serif" w:hAnsi="Times New Roman;serif"/>
          <w:b w:val="false"/>
          <w:color w:val="000000"/>
          <w:sz w:val="22"/>
        </w:rPr>
        <w:t>In November 2026, Evergy Missouri West filed an application with the MPSC to request an increase to its retail revenues of approximately $229.5 million. The requested increase was approximately $182.6 million before rebasing fuel and purchased power expense and $137.8 million when also excluding the removal of certain regulatory amortizations. Evergy Missouri West's request reflected a return on equity of 10.25%</w:t>
      </w:r>
      <w:r>
        <w:rPr>
          <w:color w:val="000000"/>
        </w:rPr>
        <w:t xml:space="preserve"> </w:t>
      </w:r>
      <w:r>
        <w:rPr>
          <w:rFonts w:ascii="Times New Roman;serif" w:hAnsi="Times New Roman;serif"/>
          <w:b w:val="false"/>
          <w:color w:val="000000"/>
          <w:sz w:val="22"/>
        </w:rPr>
        <w:t>(with a capital structure composed of 52% equity) and increases related to the recovery of solar and infrastructure investments made to improve reliability and enhance customer service, and financing costs associated with natural gas plants under construction, partially offset by new large load revenues. New rates are expected to be effective in October 2027.</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Metro's 2026 Rate Case Proceeding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February 2026, Evergy Metro filed an application with the MPSC to request an increase to its retail revenues of approximately $140 million. Evergy Metro's request reflected a return on equity of 10.5% (with a capital structure composed of 52% equity) and increases related to the recovery of infrastructure investments made to improve reliability and enhance customer service and the update of expenses to current levels of spend. In October 2026, an evidentiary hearing on the case occurred and partial stipulations and agreements were reached on certain issues in the case. Several issues remain outstanding and an order is expected from the MPSC before the end of 2026, with new rates expected to be effective in January 2027.</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Large Load Customers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2026, the Evergy Companies signed ESAs with multiple large load customers to serve data centers with a projected peak steady state load of approximately 2,600 MWs. The ESAs relate to three new projects and the expansion of two separate projects previously announced. The ESAs' terms reflect the applicable provisions of the Evergy Companies' LLPS rate plans. The service of these large load customers, inclusive of an optional transitional load period not to exceed five years, has commenced or is expected to commence at dates ranging from 2026 to 2028.</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Convertible Note Repurchases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January and February 2026, Evergy, Inc. repurchased $244.1 million aggregate principal amount of its $1.4 billion aggregate principal amount of Convertible Notes, under separate, privately negotiated repurchase agreements with certain holders of its Convertible Notes, for a total repurchase cost (including fees and excluding accrued and unpaid interest) of $309.5 million. After these January and February 2026 repurchases, $1,155.9 million aggregate principal amount of Convertible Notes remain outstanding as of September 30, 2026. See "Convertible Notes" in Note 8 to the consolidated financial statements for additional information regarding Evergy, Inc.'s repurchase of Convertible Notes.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Regulatory Proceedings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4 to the consolidated financial statements for information regarding other regulatory proceedings.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Wolf Creek Refueling Outage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Wolf Creek's most recent refueling outage began in October 2025 and the unit returned to service in November 2025. Wolf Creek's next refueling outage is planned to begin in the spring of 2027.</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Earnings Overview</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Evergy's net income and diluted EPS.</w:t>
      </w:r>
    </w:p>
    <w:tbl>
      <w:tblPr>
        <w:tblW w:w="10205" w:type="dxa"/>
        <w:jc w:val="center"/>
        <w:tblInd w:w="0" w:type="dxa"/>
        <w:tblLayout w:type="fixed"/>
        <w:tblCellMar>
          <w:top w:w="28" w:type="dxa"/>
          <w:left w:w="28" w:type="dxa"/>
          <w:bottom w:w="28" w:type="dxa"/>
          <w:right w:w="28" w:type="dxa"/>
        </w:tblCellMar>
      </w:tblPr>
      <w:tblGrid>
        <w:gridCol w:w="1053"/>
        <w:gridCol w:w="925"/>
        <w:gridCol w:w="93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29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508"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2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per share amounts)</w:t>
            </w:r>
          </w:p>
        </w:tc>
      </w:tr>
      <w:tr>
        <w:tc>
          <w:tcPr>
            <w:tcW w:w="2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08"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 diluted</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5"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Evergy, Inc. increased for the three months ended September 30, 2026, compared to the same period in 2025, primarily due to higher retail sales in the third quarter of 2026 driven by favorable weather and higher weather-normalized demand, new Evergy Kansas Central retail rates effective in October 2025, and higher proceeds from corporate-owned life insurance (COLI); partially offset by higher operating and maintenance, interest and income tax expense.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Diluted EPS increased for the three months ended September 30, 2026, compared to the same period in 2025, primarily due to the increase in net income attributable to Evergy, Inc. discussed above, partially offset by a $0.03 per share decrease due to dilution primarily driven by Evergy's convertible notes.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Evergy, Inc. increased year to date September 30, 2026, compared to the same period in 2025, primarily due to higher retail sales in 2026 driven by favorable weather and higher weather-normalized demand, new Evergy Kansas Central retail rates effective in October 2025, higher non-regulated energy marketing revenue, and gains in 2026 compared to losses in 2025 from non-regulated investments in early-stage clean energy and energy solution companies; partially offset by higher operating and maintenance, depreciation and interest expense.</w:t>
      </w:r>
    </w:p>
    <w:p>
      <w:pPr>
        <w:pStyle w:val="TextBody"/>
        <w:bidi w:val="0"/>
        <w:spacing w:lineRule="auto" w:line="268" w:before="0" w:after="240"/>
        <w:jc w:val="left"/>
        <w:rPr>
          <w:rFonts w:ascii="Times New Roman;serif" w:hAnsi="Times New Roman;serif"/>
          <w:b w:val="false"/>
          <w:color w:val="000000"/>
          <w:sz w:val="22"/>
        </w:rPr>
      </w:pPr>
      <w:r>
        <w:rPr>
          <w:rFonts w:ascii="Times New Roman;serif" w:hAnsi="Times New Roman;serif"/>
          <w:b w:val="false"/>
          <w:color w:val="000000"/>
          <w:sz w:val="22"/>
        </w:rPr>
        <w:t>Diluted EPS increased year to date September 30, 2026, compared to the same period in 2025, primarily due to the increase in net income attributable to Evergy, Inc. discussed above, partially offset by a $0.06 per share decrease due to dilution primarily driven by Evergy's convertible notes.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additional information regarding the change in net income, refer to the Evergy Results of Operations section within this MD&amp;A.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Non-GAAP Measures</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Evergy Utility Gross Margin (non-GAAP)</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Utility gross margin (non-GAAP) is a financial measure that is not calculated in accordance with GAAP.  Utility gross margin (non-GAAP),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The Evergy Companies' definition of utility gross margin (non-GAAP) may differ from similar terms used by other companies.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Utility gross margin (non-GAAP) is intended to aid an investor's overall understanding of results. Management believes that utility gross margin (non-GAAP) provides a meaningful basis for evaluating the Evergy Companies' operations across periods because utility gross margin (non-GAAP) excludes the revenue effect of fluctuations in fuel and purchased power costs and SPP network transmission costs.  Utility gross margin (non-GAAP) is used internally to measure performance against budget and in reports for management and the Evergy Board.  Utility gross margin (non-GAAP) should be viewed as a supplement to, and not a substitute for, gross margin, which is the most directly comparable financial measure prepared in accordance with GAAP. Gross margin under GAAP is defined as the excess of sales over cost of goods sold.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Utility gross margin (non-GAAP) differs from the GAAP definition of gross margin due to the exclusion of operating and maintenance expenses determined to be directly attributable to revenue-producing activities, depreciation and amortization and taxes other than income tax. See the Evergy Companies' Results of Operations for a reconciliation of utility gross margin (non-GAAP) to gross margin, the most comparable GAAP measure.</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Adjusted Earnings (non-GAAP) and Adjusted EPS (non-GAAP)</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Management believes that adjusted earnings (non-GAAP) and adjusted EPS (non-GAAP) are representative measures of Evergy's recurring earnings, assist in the comparability of results and are consistent with how management reviews performance. The following table summarizes Evergy's adjusted earnings (non-GAAP) and adjusted EPS (non-GAAP).</w:t>
      </w:r>
    </w:p>
    <w:tbl>
      <w:tblPr>
        <w:tblW w:w="9600" w:type="dxa"/>
        <w:jc w:val="left"/>
        <w:tblInd w:w="0" w:type="dxa"/>
        <w:tblLayout w:type="fixed"/>
        <w:tblCellMar>
          <w:top w:w="28" w:type="dxa"/>
          <w:left w:w="28" w:type="dxa"/>
          <w:bottom w:w="28" w:type="dxa"/>
          <w:right w:w="28" w:type="dxa"/>
        </w:tblCellMar>
      </w:tblPr>
      <w:tblGrid>
        <w:gridCol w:w="1750"/>
        <w:gridCol w:w="1535"/>
        <w:gridCol w:w="154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c>
          <w:tcPr>
            <w:tcW w:w="175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83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12"/>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2244"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per share amounts)</w:t>
            </w:r>
          </w:p>
        </w:tc>
      </w:tr>
      <w:t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(non-GAAP)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3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common share, diluted (non-GAAP)</w:t>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09"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In addition to net income attributable to Evergy, Inc. and diluted EPS, Evergy's management uses adjusted earnings (non-GAAP) and adjusted EPS (non-GAAP) to evaluate earnings and EPS without:</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i.losses from the repurchase of a portion of Evergy's Convertible Notes; </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ii.investment gains and losses from non-regulated investments in early-stage clean energy and energy solution companies and costs related to the disposal of these investments; and</w:t>
      </w:r>
    </w:p>
    <w:p>
      <w:pPr>
        <w:pStyle w:val="TextBody"/>
        <w:bidi w:val="0"/>
        <w:spacing w:lineRule="auto" w:line="288" w:before="0" w:after="12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iii.the gain associated with the settlement of a complaint regarding Evergy Kansas Central's Annual Transmission Revenue Requirement for the 2018 and 2019 rate years.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Adjusted earnings (non-GAAP) and adjusted EPS (non-GAAP) are intended to aid an investor's overall understanding of results. Management believes that adjusted earnings (non-GAAP) provides a meaningful basis for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pPr>
      <w:r>
        <w:rPr>
          <w:rFonts w:ascii="Times New Roman;serif" w:hAnsi="Times New Roman;serif"/>
          <w:b w:val="false"/>
          <w:color w:val="000000"/>
          <w:sz w:val="22"/>
        </w:rPr>
        <w:t>evaluating Evergy's operations across periods because it excludes certain items that management does not believe are indicative of Evergy's ongoing perf</w:t>
      </w:r>
      <w:r>
        <w:rPr>
          <w:rFonts w:ascii="Times New Roman;serif" w:hAnsi="Times New Roman;serif"/>
          <w:b w:val="false"/>
          <w:color w:val="000000"/>
          <w:sz w:val="22"/>
          <w:shd w:fill="FFFFFF" w:val="clear"/>
        </w:rPr>
        <w:t xml:space="preserve">ormance or that can create period to period earnings volatility. </w:t>
      </w:r>
    </w:p>
    <w:p>
      <w:pPr>
        <w:pStyle w:val="TextBody"/>
        <w:bidi w:val="0"/>
        <w:spacing w:lineRule="auto" w:line="288" w:before="0" w:after="240"/>
        <w:jc w:val="left"/>
      </w:pPr>
      <w:r>
        <w:rPr>
          <w:rFonts w:ascii="Times New Roman;serif" w:hAnsi="Times New Roman;serif"/>
          <w:b w:val="false"/>
          <w:color w:val="000000"/>
          <w:sz w:val="22"/>
          <w:shd w:fill="FFFFFF" w:val="clear"/>
        </w:rPr>
        <w:t>Ad</w:t>
      </w:r>
      <w:r>
        <w:rPr>
          <w:rFonts w:ascii="Times New Roman;serif" w:hAnsi="Times New Roman;serif"/>
          <w:b w:val="false"/>
          <w:color w:val="000000"/>
          <w:sz w:val="22"/>
        </w:rPr>
        <w:t xml:space="preserve">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tables provide a reconciliation between net income attributable to Evergy, Inc. and diluted EPS as determined in accordance with GAAP and adjusted earnings (non-GAAP) and adjusted EPS (non-GAAP), respectively.</w:t>
      </w:r>
    </w:p>
    <w:tbl>
      <w:tblPr>
        <w:tblW w:w="10205" w:type="dxa"/>
        <w:jc w:val="center"/>
        <w:tblInd w:w="0" w:type="dxa"/>
        <w:tblLayout w:type="fixed"/>
        <w:tblCellMar>
          <w:top w:w="28" w:type="dxa"/>
          <w:left w:w="28" w:type="dxa"/>
          <w:bottom w:w="28" w:type="dxa"/>
          <w:right w:w="28" w:type="dxa"/>
        </w:tblCellMar>
      </w:tblPr>
      <w:tblGrid>
        <w:gridCol w:w="1638"/>
        <w:gridCol w:w="1269"/>
        <w:gridCol w:w="1274"/>
        <w:gridCol w:w="211"/>
        <w:gridCol w:w="616"/>
        <w:gridCol w:w="109"/>
        <w:gridCol w:w="109"/>
        <w:gridCol w:w="109"/>
        <w:gridCol w:w="109"/>
        <w:gridCol w:w="394"/>
        <w:gridCol w:w="959"/>
        <w:gridCol w:w="207"/>
        <w:gridCol w:w="109"/>
        <w:gridCol w:w="109"/>
        <w:gridCol w:w="109"/>
        <w:gridCol w:w="211"/>
        <w:gridCol w:w="616"/>
        <w:gridCol w:w="109"/>
        <w:gridCol w:w="109"/>
        <w:gridCol w:w="109"/>
        <w:gridCol w:w="109"/>
        <w:gridCol w:w="386"/>
        <w:gridCol w:w="937"/>
        <w:gridCol w:w="288"/>
      </w:tblGrid>
      <w:tr>
        <w:tc>
          <w:tcPr>
            <w:tcW w:w="1638"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c>
          <w:tcPr>
            <w:tcW w:w="41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Earnings </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per Diluted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Earnings </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per Diluted Share</w:t>
            </w:r>
          </w:p>
        </w:tc>
      </w:tr>
      <w:tr>
        <w:tc>
          <w:tcPr>
            <w:tcW w:w="4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282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1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per share amounts)</w:t>
            </w:r>
          </w:p>
        </w:tc>
      </w:tr>
      <w:tr>
        <w:tc>
          <w:tcPr>
            <w:tcW w:w="4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reconciling items: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Losses from investments in early-stage clean energy and energy solution companies, pre-tax</w:t>
            </w:r>
            <w:r>
              <w:rPr>
                <w:rFonts w:ascii="Times New Roman;serif" w:hAnsi="Times New Roman;serif"/>
                <w:b w:val="false"/>
                <w:color w:val="000000"/>
                <w:sz w:val="13"/>
              </w:rPr>
              <w:t>(b)</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pPr>
            <w:r>
              <w:rPr>
                <w:rFonts w:ascii="Times New Roman;serif" w:hAnsi="Times New Roman;serif"/>
                <w:b w:val="false"/>
                <w:color w:val="000000"/>
                <w:sz w:val="20"/>
              </w:rPr>
              <w:t>Gain from TFR settlement, pre-tax</w:t>
            </w:r>
            <w:r>
              <w:rPr>
                <w:rFonts w:ascii="Times New Roman;serif" w:hAnsi="Times New Roman;serif"/>
                <w:b w:val="false"/>
                <w:color w:val="000000"/>
                <w:sz w:val="13"/>
              </w:rPr>
              <w:t>(c)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pPr>
            <w:r>
              <w:rPr>
                <w:rFonts w:ascii="Times New Roman;serif" w:hAnsi="Times New Roman;serif"/>
                <w:b w:val="false"/>
                <w:color w:val="000000"/>
                <w:sz w:val="20"/>
              </w:rPr>
              <w:t>Income tax expense</w:t>
            </w:r>
            <w:r>
              <w:rPr>
                <w:rFonts w:ascii="Times New Roman;serif" w:hAnsi="Times New Roman;serif"/>
                <w:b w:val="false"/>
                <w:color w:val="000000"/>
                <w:sz w:val="13"/>
              </w:rPr>
              <w:t>(d)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1" w:type="dxa"/>
            <w:gridSpan w:val="3"/>
            <w:tcBorders/>
            <w:vAlign w:val="center"/>
          </w:tcPr>
          <w:p>
            <w:pPr>
              <w:pStyle w:val="TableContents"/>
              <w:bidi w:val="0"/>
              <w:spacing w:before="0" w:after="283"/>
              <w:jc w:val="left"/>
              <w:rPr>
                <w:sz w:val="4"/>
                <w:szCs w:val="4"/>
              </w:rPr>
            </w:pPr>
            <w:r>
              <w:rPr>
                <w:sz w:val="4"/>
                <w:szCs w:val="4"/>
              </w:rPr>
            </w:r>
          </w:p>
        </w:tc>
      </w:tr>
      <w:tr>
        <w:tc>
          <w:tcPr>
            <w:tcW w:w="4181"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(non-GAAP)</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0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8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71"/>
        <w:gridCol w:w="1291"/>
        <w:gridCol w:w="1295"/>
        <w:gridCol w:w="211"/>
        <w:gridCol w:w="616"/>
        <w:gridCol w:w="109"/>
        <w:gridCol w:w="109"/>
        <w:gridCol w:w="109"/>
        <w:gridCol w:w="109"/>
        <w:gridCol w:w="385"/>
        <w:gridCol w:w="936"/>
        <w:gridCol w:w="202"/>
        <w:gridCol w:w="109"/>
        <w:gridCol w:w="109"/>
        <w:gridCol w:w="109"/>
        <w:gridCol w:w="211"/>
        <w:gridCol w:w="616"/>
        <w:gridCol w:w="109"/>
        <w:gridCol w:w="109"/>
        <w:gridCol w:w="109"/>
        <w:gridCol w:w="109"/>
        <w:gridCol w:w="377"/>
        <w:gridCol w:w="915"/>
        <w:gridCol w:w="280"/>
      </w:tblGrid>
      <w:tr>
        <w:tc>
          <w:tcPr>
            <w:tcW w:w="167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5948" w:type="dxa"/>
            <w:gridSpan w:val="21"/>
            <w:tcBorders/>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per Diluted Share</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Earnings per Diluted Share</w:t>
            </w:r>
          </w:p>
        </w:tc>
      </w:tr>
      <w:tr>
        <w:tc>
          <w:tcPr>
            <w:tcW w:w="4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278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 except per share amounts)</w:t>
            </w:r>
          </w:p>
        </w:tc>
      </w:tr>
      <w:t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reconciling items: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Losses from the repurchase of Convertible Notes, pre-tax</w:t>
            </w:r>
            <w:r>
              <w:rPr>
                <w:rFonts w:ascii="Times New Roman;serif" w:hAnsi="Times New Roman;serif"/>
                <w:b w:val="false"/>
                <w:color w:val="000000"/>
                <w:sz w:val="13"/>
              </w:rPr>
              <w:t>(a)</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(Gains) losses from investments in early-stage clean energy and energy solution companies, pre-tax</w:t>
            </w:r>
            <w:r>
              <w:rPr>
                <w:rFonts w:ascii="Times New Roman;serif" w:hAnsi="Times New Roman;serif"/>
                <w:b w:val="false"/>
                <w:color w:val="000000"/>
                <w:sz w:val="13"/>
              </w:rPr>
              <w:t>(b)</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pPr>
            <w:r>
              <w:rPr>
                <w:rFonts w:ascii="Times New Roman;serif" w:hAnsi="Times New Roman;serif"/>
                <w:b w:val="false"/>
                <w:color w:val="000000"/>
                <w:sz w:val="20"/>
              </w:rPr>
              <w:t>Gain from TFR settlement, pre-tax</w:t>
            </w:r>
            <w:r>
              <w:rPr>
                <w:rFonts w:ascii="Times New Roman;serif" w:hAnsi="Times New Roman;serif"/>
                <w:b w:val="false"/>
                <w:color w:val="000000"/>
                <w:sz w:val="13"/>
              </w:rPr>
              <w:t>(c)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pPr>
            <w:r>
              <w:rPr>
                <w:rFonts w:ascii="Times New Roman;serif" w:hAnsi="Times New Roman;serif"/>
                <w:b w:val="false"/>
                <w:color w:val="000000"/>
                <w:sz w:val="20"/>
              </w:rPr>
              <w:t>Income tax expense (benefit)</w:t>
            </w:r>
            <w:r>
              <w:rPr>
                <w:rFonts w:ascii="Times New Roman;serif" w:hAnsi="Times New Roman;serif"/>
                <w:b w:val="false"/>
                <w:color w:val="000000"/>
                <w:sz w:val="13"/>
              </w:rPr>
              <w:t>(d)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c>
          <w:tcPr>
            <w:tcW w:w="4257" w:type="dxa"/>
            <w:gridSpan w:val="3"/>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(non-GAAP)</w:t>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980.2 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202"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794.0 </w:t>
            </w:r>
          </w:p>
        </w:tc>
        <w:tc>
          <w:tcPr>
            <w:tcW w:w="10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80"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pPr>
      <w:r>
        <w:rPr>
          <w:rFonts w:ascii="Times New Roman;serif" w:hAnsi="Times New Roman;serif"/>
          <w:b w:val="false"/>
          <w:color w:val="000000"/>
          <w:sz w:val="12"/>
        </w:rPr>
        <w:t>(a)</w:t>
      </w:r>
      <w:r>
        <w:rPr>
          <w:rFonts w:ascii="Times New Roman;serif" w:hAnsi="Times New Roman;serif"/>
          <w:b w:val="false"/>
          <w:color w:val="000000"/>
          <w:sz w:val="18"/>
        </w:rPr>
        <w:t>Reflects losses and fees of $10.3 million related to Evergy's repurchase of $244.1 million aggregate principal amount of its Convertible Notes in the first quarter 2026 that are included in interest expense on the consolidated statements of comprehensive income.</w:t>
      </w:r>
    </w:p>
    <w:p>
      <w:pPr>
        <w:pStyle w:val="TextBody"/>
        <w:bidi w:val="0"/>
        <w:spacing w:lineRule="auto" w:line="288" w:before="0" w:after="0"/>
        <w:ind w:left="0" w:right="0" w:hanging="180"/>
        <w:jc w:val="left"/>
      </w:pPr>
      <w:r>
        <w:rPr>
          <w:rFonts w:ascii="Times New Roman;serif" w:hAnsi="Times New Roman;serif"/>
          <w:b w:val="false"/>
          <w:color w:val="000000"/>
          <w:sz w:val="12"/>
        </w:rPr>
        <w:t>(b)</w:t>
      </w:r>
      <w:r>
        <w:rPr>
          <w:rFonts w:ascii="Times New Roman;serif" w:hAnsi="Times New Roman;serif"/>
          <w:b w:val="false"/>
          <w:color w:val="000000"/>
          <w:sz w:val="18"/>
        </w:rPr>
        <w:t>Reflects net unrealized gains and losses, realized gains and losses and impairment losses from non-regulated investments in early-stage clean energy and energy solution companies that are included in investment earnings on the consolidated statements of comprehensive income, in addition to costs related to the disposal of these investments of $0.5 million and $0.1 million for the three months ended September 30, 2026 and 2025, respectively, and $1.1 million and $0.1 million year to date September 30, 2026 and 2025, respectively, that are included in operating and maintenance expense on the consolidated statements of comprehensive income. Evergy is in the process of disposing of these investments.</w:t>
      </w:r>
    </w:p>
    <w:p>
      <w:pPr>
        <w:pStyle w:val="TextBody"/>
        <w:bidi w:val="0"/>
        <w:spacing w:lineRule="auto" w:line="288" w:before="0" w:after="0"/>
        <w:ind w:left="0" w:right="0" w:hanging="180"/>
        <w:jc w:val="left"/>
      </w:pPr>
      <w:r>
        <w:rPr>
          <w:rFonts w:ascii="Times New Roman;serif" w:hAnsi="Times New Roman;serif"/>
          <w:b w:val="false"/>
          <w:color w:val="000000"/>
          <w:sz w:val="12"/>
        </w:rPr>
        <w:t>(c)</w:t>
      </w:r>
      <w:r>
        <w:rPr>
          <w:rFonts w:ascii="Times New Roman;serif" w:hAnsi="Times New Roman;serif"/>
          <w:b w:val="false"/>
          <w:color w:val="000000"/>
          <w:sz w:val="18"/>
        </w:rPr>
        <w:t xml:space="preserve">Reflects a gain from the partial reduction of a liability associated with the settlement of a complaint regarding Evergy Kansas Central's Annual Transmission Revenue Requirement for the 2018 and 2019 rate years that is included in operating revenues on the consolidated statements of comprehensive income. </w:t>
      </w:r>
    </w:p>
    <w:p>
      <w:pPr>
        <w:pStyle w:val="TextBody"/>
        <w:bidi w:val="0"/>
        <w:spacing w:lineRule="auto" w:line="288" w:before="0" w:after="0"/>
        <w:ind w:left="0" w:right="0" w:hanging="180"/>
        <w:jc w:val="left"/>
      </w:pPr>
      <w:r>
        <w:rPr>
          <w:rFonts w:ascii="Times New Roman;serif" w:hAnsi="Times New Roman;serif"/>
          <w:b w:val="false"/>
          <w:color w:val="000000"/>
          <w:sz w:val="12"/>
        </w:rPr>
        <w:t>(d)</w:t>
      </w:r>
      <w:r>
        <w:rPr>
          <w:rFonts w:ascii="Times New Roman;serif" w:hAnsi="Times New Roman;serif"/>
          <w:b w:val="false"/>
          <w:color w:val="000000"/>
          <w:sz w:val="18"/>
        </w:rPr>
        <w:t xml:space="preserve">Reflects an income tax effect calculated at a statutory rate of approximately 22%, with the exception of certain non-deductible items. </w:t>
      </w:r>
    </w:p>
    <w:p>
      <w:pPr>
        <w:pStyle w:val="TextBody"/>
        <w:bidi w:val="0"/>
        <w:spacing w:before="0" w:after="0"/>
        <w:ind w:left="0" w:right="0" w:hanging="18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both"/>
        <w:rPr>
          <w:rFonts w:ascii="Times New Roman;serif" w:hAnsi="Times New Roman;serif"/>
          <w:b/>
          <w:color w:val="000000"/>
          <w:sz w:val="22"/>
          <w:u w:val="single"/>
        </w:rPr>
      </w:pPr>
      <w:r>
        <w:rPr>
          <w:rFonts w:ascii="Times New Roman;serif" w:hAnsi="Times New Roman;serif"/>
          <w:b/>
          <w:color w:val="000000"/>
          <w:sz w:val="22"/>
          <w:u w:val="single"/>
        </w:rPr>
        <w:t>ENVIRONMENTAL MATTERS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11 to the consolidated financial statements for information regarding environmental matters.</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RELATED PARTY TRANSACTIONS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12 to the consolidated financial statements for information regarding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2"/>
          <w:u w:val="single"/>
        </w:rPr>
        <w:t>EVERGY RESULTS OF OPERATIONS</w:t>
      </w:r>
      <w:r>
        <w:rPr>
          <w:color w:val="000000"/>
        </w:rPr>
        <w:t>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Evergy's comparative results of operations.</w:t>
      </w:r>
    </w:p>
    <w:tbl>
      <w:tblPr>
        <w:tblW w:w="10205" w:type="dxa"/>
        <w:jc w:val="left"/>
        <w:tblInd w:w="0" w:type="dxa"/>
        <w:tblLayout w:type="fixed"/>
        <w:tblCellMar>
          <w:top w:w="28" w:type="dxa"/>
          <w:left w:w="28" w:type="dxa"/>
          <w:bottom w:w="28" w:type="dxa"/>
          <w:right w:w="28" w:type="dxa"/>
        </w:tblCellMar>
      </w:tblPr>
      <w:tblGrid>
        <w:gridCol w:w="949"/>
        <w:gridCol w:w="677"/>
        <w:gridCol w:w="682"/>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55"/>
      </w:tblGrid>
      <w:tr>
        <w:tc>
          <w:tcPr>
            <w:tcW w:w="94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230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Year to Date </w:t>
              <w:br/>
              <w:t>September 30</w:t>
            </w:r>
          </w:p>
        </w:tc>
      </w:tr>
      <w:t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30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7"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in earnings of equity method investees, net of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08"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Inc.</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771.3 </w:t>
            </w:r>
          </w:p>
        </w:tc>
        <w:tc>
          <w:tcPr>
            <w:tcW w:w="1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Gross Margin (GAAP) and Utility Gross Margin (non-GAAP)</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tables summarize Evergy's gross margin (GAAP) and MWhs sold and reconcile the differences between Evergy's gross margin (GAAP) and Evergy's utility gross margin (non-GAAP). See "Executive Summary - Non-GAAP Measures", above for additional information regarding gross margin (GAAP) and utility gross margin (non-GAAP).</w:t>
      </w:r>
    </w:p>
    <w:tbl>
      <w:tblPr>
        <w:tblW w:w="10205" w:type="dxa"/>
        <w:jc w:val="left"/>
        <w:tblInd w:w="0" w:type="dxa"/>
        <w:tblLayout w:type="fixed"/>
        <w:tblCellMar>
          <w:top w:w="28" w:type="dxa"/>
          <w:left w:w="28" w:type="dxa"/>
          <w:bottom w:w="28" w:type="dxa"/>
          <w:right w:w="28" w:type="dxa"/>
        </w:tblCellMar>
      </w:tblPr>
      <w:tblGrid>
        <w:gridCol w:w="725"/>
        <w:gridCol w:w="486"/>
        <w:gridCol w:w="487"/>
        <w:gridCol w:w="238"/>
        <w:gridCol w:w="884"/>
        <w:gridCol w:w="123"/>
        <w:gridCol w:w="123"/>
        <w:gridCol w:w="123"/>
        <w:gridCol w:w="123"/>
        <w:gridCol w:w="238"/>
        <w:gridCol w:w="714"/>
        <w:gridCol w:w="123"/>
        <w:gridCol w:w="123"/>
        <w:gridCol w:w="123"/>
        <w:gridCol w:w="123"/>
        <w:gridCol w:w="238"/>
        <w:gridCol w:w="884"/>
        <w:gridCol w:w="123"/>
        <w:gridCol w:w="123"/>
        <w:gridCol w:w="123"/>
        <w:gridCol w:w="123"/>
        <w:gridCol w:w="407"/>
        <w:gridCol w:w="408"/>
        <w:gridCol w:w="199"/>
        <w:gridCol w:w="123"/>
        <w:gridCol w:w="123"/>
        <w:gridCol w:w="123"/>
        <w:gridCol w:w="348"/>
        <w:gridCol w:w="348"/>
        <w:gridCol w:w="284"/>
        <w:gridCol w:w="123"/>
        <w:gridCol w:w="123"/>
        <w:gridCol w:w="123"/>
        <w:gridCol w:w="407"/>
        <w:gridCol w:w="408"/>
        <w:gridCol w:w="288"/>
      </w:tblGrid>
      <w:tr>
        <w:tc>
          <w:tcPr>
            <w:tcW w:w="72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c>
          <w:tcPr>
            <w:tcW w:w="1698"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and Expenses</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MWhs Sold</w:t>
            </w:r>
          </w:p>
        </w:tc>
      </w:tr>
      <w:tr>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revenues</w:t>
            </w:r>
          </w:p>
        </w:tc>
        <w:tc>
          <w:tcPr>
            <w:tcW w:w="43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(thousands)</w:t>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6,164 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retail revenues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14,149 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revenues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revenues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17,202 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and maintenance</w:t>
            </w:r>
            <w:r>
              <w:rPr>
                <w:rFonts w:ascii="Times New Roman;serif" w:hAnsi="Times New Roman;serif"/>
                <w:b w:val="false"/>
                <w:color w:val="000000"/>
                <w:sz w:val="13"/>
              </w:rPr>
              <w:t>(a)</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946.1</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163.7</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782.4</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and maintenance</w:t>
            </w:r>
            <w:r>
              <w:rPr>
                <w:rFonts w:ascii="Times New Roman;serif" w:hAnsi="Times New Roman;serif"/>
                <w:b w:val="false"/>
                <w:color w:val="000000"/>
                <w:sz w:val="13"/>
              </w:rPr>
              <w:t>(a)</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Utility gross margin (non-GAAP)</w:t>
            </w:r>
          </w:p>
        </w:tc>
        <w:tc>
          <w:tcPr>
            <w:tcW w:w="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1,499.9</w:t>
            </w:r>
            <w:r>
              <w:rPr>
                <w:color w:val="000000"/>
              </w:rPr>
              <w:t>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193.8</w:t>
            </w:r>
            <w:r>
              <w:rPr>
                <w:color w:val="000000"/>
              </w:rPr>
              <w:t>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1,306.1</w:t>
            </w:r>
            <w:r>
              <w:rPr>
                <w:color w:val="000000"/>
              </w:rPr>
              <w:t>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36"/>
            <w:tcBorders>
              <w:top w:val="single" w:sz="16" w:space="0" w:color="000000"/>
            </w:tcBorders>
            <w:tcMar>
              <w:top w:w="30" w:type="dxa"/>
              <w:left w:w="0" w:type="dxa"/>
              <w:bottom w:w="0" w:type="dxa"/>
              <w:right w:w="0" w:type="dxa"/>
            </w:tcMar>
            <w:vAlign w:val="center"/>
          </w:tcPr>
          <w:p>
            <w:pPr>
              <w:pStyle w:val="TableContents"/>
              <w:bidi w:val="0"/>
              <w:spacing w:lineRule="auto" w:line="240" w:before="0" w:after="40"/>
              <w:ind w:left="0" w:right="0" w:hanging="180"/>
              <w:jc w:val="left"/>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$137.6 million and $123.9 million for the three months ended September 30, 2026 and 2025, respectively.</w:t>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5818" w:type="dxa"/>
            <w:gridSpan w:val="24"/>
            <w:tcBorders/>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5818" w:type="dxa"/>
            <w:gridSpan w:val="24"/>
            <w:tcBorders/>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c>
          <w:tcPr>
            <w:tcW w:w="1698" w:type="dxa"/>
            <w:gridSpan w:val="3"/>
            <w:tcBorders/>
            <w:vAlign w:val="center"/>
          </w:tcPr>
          <w:p>
            <w:pPr>
              <w:pStyle w:val="TableContents"/>
              <w:bidi w:val="0"/>
              <w:spacing w:before="0" w:after="283"/>
              <w:jc w:val="left"/>
              <w:rPr>
                <w:sz w:val="4"/>
                <w:szCs w:val="4"/>
              </w:rPr>
            </w:pPr>
            <w:r>
              <w:rPr>
                <w:sz w:val="4"/>
                <w:szCs w:val="4"/>
              </w:rPr>
            </w:r>
          </w:p>
        </w:tc>
        <w:tc>
          <w:tcPr>
            <w:tcW w:w="8507" w:type="dxa"/>
            <w:gridSpan w:val="3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14"/>
        <w:gridCol w:w="476"/>
        <w:gridCol w:w="478"/>
        <w:gridCol w:w="239"/>
        <w:gridCol w:w="884"/>
        <w:gridCol w:w="123"/>
        <w:gridCol w:w="123"/>
        <w:gridCol w:w="123"/>
        <w:gridCol w:w="123"/>
        <w:gridCol w:w="239"/>
        <w:gridCol w:w="714"/>
        <w:gridCol w:w="123"/>
        <w:gridCol w:w="123"/>
        <w:gridCol w:w="123"/>
        <w:gridCol w:w="123"/>
        <w:gridCol w:w="239"/>
        <w:gridCol w:w="884"/>
        <w:gridCol w:w="123"/>
        <w:gridCol w:w="123"/>
        <w:gridCol w:w="123"/>
        <w:gridCol w:w="123"/>
        <w:gridCol w:w="407"/>
        <w:gridCol w:w="408"/>
        <w:gridCol w:w="199"/>
        <w:gridCol w:w="123"/>
        <w:gridCol w:w="123"/>
        <w:gridCol w:w="123"/>
        <w:gridCol w:w="362"/>
        <w:gridCol w:w="363"/>
        <w:gridCol w:w="284"/>
        <w:gridCol w:w="123"/>
        <w:gridCol w:w="123"/>
        <w:gridCol w:w="123"/>
        <w:gridCol w:w="407"/>
        <w:gridCol w:w="408"/>
        <w:gridCol w:w="286"/>
      </w:tblGrid>
      <w:tr>
        <w:tc>
          <w:tcPr>
            <w:tcW w:w="71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c>
          <w:tcPr>
            <w:tcW w:w="1668"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and Expenses</w:t>
            </w:r>
          </w:p>
        </w:tc>
        <w:tc>
          <w:tcPr>
            <w:tcW w:w="3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MWhs Sold</w:t>
            </w:r>
          </w:p>
        </w:tc>
      </w:tr>
      <w:tr>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6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revenues</w:t>
            </w:r>
          </w:p>
        </w:tc>
        <w:tc>
          <w:tcPr>
            <w:tcW w:w="43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(thousands)</w:t>
            </w:r>
          </w:p>
        </w:tc>
      </w:tr>
      <w:t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retail revenues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3,757.9 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revenues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revenues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4,621.4 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45,304 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and maintenance</w:t>
            </w:r>
            <w:r>
              <w:rPr>
                <w:rFonts w:ascii="Times New Roman;serif" w:hAnsi="Times New Roman;serif"/>
                <w:b w:val="false"/>
                <w:color w:val="000000"/>
                <w:sz w:val="13"/>
              </w:rPr>
              <w:t>(a)</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1,871.6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232.6</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1,639.0</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Operating and maintenance</w:t>
            </w:r>
            <w:r>
              <w:rPr>
                <w:rFonts w:ascii="Times New Roman;serif" w:hAnsi="Times New Roman;serif"/>
                <w:b w:val="false"/>
                <w:color w:val="000000"/>
                <w:sz w:val="13"/>
              </w:rPr>
              <w:t>(a)</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Utility gross margin (non-GAAP)</w:t>
            </w:r>
          </w:p>
        </w:tc>
        <w:tc>
          <w:tcPr>
            <w:tcW w:w="2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3,526.8</w:t>
            </w:r>
            <w:r>
              <w:rPr>
                <w:color w:val="000000"/>
              </w:rPr>
              <w:t>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306.2</w:t>
            </w:r>
            <w:r>
              <w:rPr>
                <w:color w:val="000000"/>
              </w:rPr>
              <w:t>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3,220.6</w:t>
            </w:r>
            <w:r>
              <w:rPr>
                <w:color w:val="000000"/>
              </w:rPr>
              <w:t> </w:t>
            </w:r>
          </w:p>
        </w:tc>
        <w:tc>
          <w:tcPr>
            <w:tcW w:w="1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36"/>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40"/>
              <w:ind w:left="0" w:right="0" w:hanging="180"/>
              <w:jc w:val="left"/>
            </w:pPr>
            <w:r>
              <w:rPr>
                <w:rFonts w:ascii="Times New Roman;serif" w:hAnsi="Times New Roman;serif"/>
                <w:b w:val="false"/>
                <w:color w:val="000000"/>
                <w:sz w:val="12"/>
              </w:rPr>
              <w:t>(a)</w:t>
            </w:r>
            <w:r>
              <w:rPr>
                <w:color w:val="000000"/>
              </w:rPr>
              <w:t xml:space="preserve"> </w:t>
            </w:r>
            <w:r>
              <w:rPr>
                <w:rFonts w:ascii="Times New Roman;serif" w:hAnsi="Times New Roman;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$364.1 million and $345.1 million year to date September 30, 2026 and 2025, respectively.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pPr>
      <w:r>
        <w:rPr>
          <w:rFonts w:ascii="Times New Roman;serif" w:hAnsi="Times New Roman;serif"/>
          <w:b w:val="false"/>
          <w:color w:val="000000"/>
          <w:sz w:val="22"/>
          <w:shd w:fill="FFFFFF" w:val="clear"/>
        </w:rPr>
        <w:t xml:space="preserve">Evergy's gross margin (GAAP) increased $163.7 million for the three months ended September 30, 2026, compared to the same period in 2025, and </w:t>
      </w:r>
      <w:r>
        <w:rPr>
          <w:rFonts w:ascii="Times New Roman;serif" w:hAnsi="Times New Roman;serif"/>
          <w:b w:val="false"/>
          <w:color w:val="000000"/>
          <w:sz w:val="22"/>
        </w:rPr>
        <w:t>Evergy's utility gross margin (non-GAAP) increased $193.8 million for the three months ended September 30, 2026, compared to the same period in 2025, both measures were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$139.7 million increase primarily due to favorable weather (cooling degree days increased by 31%) and higher weather-normalized demand from commercial and residential customers, including a data center customer that began taking service in 2026, and higher demand from a large load industrial customer;</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$42.3 million increase from new Evergy Kansas Central retail rates effective in October 2025;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an $11.8 million increase in transmission revenue primarily due to updated transmission costs reflected in Evergy Kansas Central's FERC TFR effective in January 2026 and Evergy Kansas Central's TFR settlement.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Additionally, the increase in Evergy's gross margin (GAAP) was also impacted by: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$13.0 million increase in operating and maintenance expenses which are determined to be directly attributable to revenue-producing activities primarily driven by an increase in transmission and distribution operating and maintenance expense as further described below;</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$12.2 million increase in depreciation and amortization as further described below;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$4.9 million increase in taxes other than income tax.</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gross margin (GAAP) increased $232.6 million year to date September 30, 2026, compared to the same period in 2025, and Evergy's utility gross margin (non-GAAP) increased $306.2 million year to date September 30, 2026, compared to the same period in 2025, both measures were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$165.1 million increase primarily due to favorable weather (cooling degree days increased by 31%, partially offset by a 21% decrease in heating degree days) and higher weather-normalized demand, including a data center customer that began taking service in 2026 and higher demand from a large load industrial customer;</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$108.0 million increase from new Evergy Kansas Central retail rates effective in October 2025;</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$17.6 million increase in transmission revenue primarily due to updated transmission costs reflected in Evergy Kansas Central's FERC TFR effective in January 2026 and Evergy Kansas Central's TFR settlement;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$15.5 million increase in revenue related to non-regulated energy marketing activity at Evergy Kansas Central.</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Additionally, the increase in Evergy's gross margin (GAAP) was also impacted by: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 $45.3 million increase in depreciation and amortization as further described below;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$24.7 million increase in operating and maintenance expenses which are determined to be directly attributable to revenue-producing activities primarily driven by an increase in transmission and distribution operating and maintenance expense as further described below;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 $3.6 million increase in taxes other than income tax.</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Operating and Maintenance</w:t>
      </w:r>
    </w:p>
    <w:p>
      <w:pPr>
        <w:pStyle w:val="TextBody"/>
        <w:bidi w:val="0"/>
        <w:spacing w:lineRule="auto" w:line="288" w:before="0" w:after="120"/>
        <w:jc w:val="left"/>
      </w:pPr>
      <w:r>
        <w:rPr>
          <w:rFonts w:ascii="Times New Roman;serif" w:hAnsi="Times New Roman;serif"/>
          <w:b w:val="false"/>
          <w:color w:val="000000"/>
          <w:sz w:val="22"/>
        </w:rPr>
        <w:t xml:space="preserve">Evergy's operating and maintenance expense increased $26.7 million </w:t>
      </w:r>
      <w:r>
        <w:rPr>
          <w:rFonts w:ascii="Times New Roman;serif" w:hAnsi="Times New Roman;serif"/>
          <w:b w:val="false"/>
          <w:color w:val="000000"/>
          <w:sz w:val="22"/>
          <w:shd w:fill="FFFFFF" w:val="clear"/>
        </w:rPr>
        <w:t>for the three months ended</w:t>
      </w:r>
      <w:r>
        <w:rPr>
          <w:color w:val="000000"/>
        </w:rPr>
        <w:t xml:space="preserve"> </w:t>
      </w:r>
      <w:r>
        <w:rPr>
          <w:rFonts w:ascii="Times New Roman;serif" w:hAnsi="Times New Roman;serif"/>
          <w:b w:val="false"/>
          <w:color w:val="000000"/>
          <w:sz w:val="22"/>
        </w:rPr>
        <w:t>September 30, 2026, compared to the same period in 2025,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 $6.8 million increase in transmission and distribution operating and maintenance expenses primarily due to higher vegetation management costs and contractor costs;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$4.5 million increase in plant operating and maintenance expense at coal-fired generating facilities primarily due to higher maintenance costs at Iatan Station, La Cygne Station and JEC;</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$3.7 million increase in general and administrative labor and employee benefits expense, primarily due to higher medical claims;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$2.6 million increase in regulatory commission expense primarily driven by higher Missouri regulatory assessment costs.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operating and maintenance expense increased $43.7 million year to date September 30, 2026, compared to the same period in 2025,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 $20.7 million increase in transmission and distribution operating and maintenance expenses primarily due to higher vegetation management and contractor costs;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$7.9 million increase in general and administrative labor and employee benefits expense, primarily due to higher medical claims;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 $6.4 million increase in regulatory commission expense primarily driven by higher Kansas and Missouri regulatory assessment costs.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Depreciation and Amortization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Evergy's depreciation and amortization increased $12.2 million for the three months ended September 30, 2026 and $45.3 million year to date September 30, 2026, compared to the same periods in 2025, primarily due to capital additions.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Other Income (Expense), Net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other expense, net for the three months ended September 30, 2025, became other income, net for the three months ended September 30, 2026, as a result of a $23.9 million increase in net other income items,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$15.6 million increase due to higher COLI proceeds in the third quarter of 2026;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$9.0 million increase in equity AFUDC primarily at Evergy Kansas Central and Evergy Missouri West primarily driven by higher average CWIP balances in the third quarter of 2026.</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other expense, net year to date September 30, 2025, became other income, net year to date September 30, 2026, as a result of a $64.3 million increase in net other income items,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 $36.3 million increase related to Evergy's non-regulated investments in early-stage clean energy and energy solution companies driven by $29.0 million of unrealized losses and impairment losses in 2025 and $7.3 million of net realized and unrealized gains in 2026;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$26.0 million increase in equity AFUDC primarily at Evergy Kansas Central and Evergy Missouri West primarily driven by higher average CWIP balances in 2026;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$16.8 million increase due to higher COLI proceeds in 2026; partially offset by</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$11.6 million of income related to a commercial solar generation project completed in 2025.</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Interest Expense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interest expense increased $16.0 million for the three months ended September 30, 2026, compared to the same period in 2025,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$27.7 million increase due to issuances of long-term debt;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$5.3 million increase in interest expense on short-term borrowings primarily due to higher short-term debt balances in the third quarter of 2026; partially offset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 $9.2 million decrease due to the repayment of long-term debt; and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$7.9 million decrease due to higher debt AFUDC primarily at Evergy Missouri West driven by higher average CWIP balances in the third quarter of 2026.</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interest expense increased $50.1 million year to date September 30, 2026, compared to the same period in 2025,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 $65.7 million increase due to issuances of long-term debt;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an $18.2 million increase in interest expense on short-term borrowings primarily due to higher short-term debt balances in 2026;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$10.3 million increase related to Evergy's repurchase of a portion of its Convertible Notes in 2026; partially offset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$25.2 million decrease due to the repayment of long-term debt;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 $19.8 million decrease due to higher debt AFUDC primarily at Evergy Missouri West driven by higher average CWIP balances in 2026.</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Income Tax Expense</w:t>
      </w:r>
    </w:p>
    <w:p>
      <w:pPr>
        <w:pStyle w:val="TextBody"/>
        <w:bidi w:val="0"/>
        <w:spacing w:lineRule="auto" w:line="288" w:before="0" w:after="120"/>
        <w:jc w:val="left"/>
      </w:pPr>
      <w:r>
        <w:rPr>
          <w:rFonts w:ascii="Times New Roman;serif" w:hAnsi="Times New Roman;serif"/>
          <w:b w:val="false"/>
          <w:color w:val="000000"/>
          <w:sz w:val="22"/>
        </w:rPr>
        <w:t>Evergy's income tax expense increased</w:t>
      </w:r>
      <w:r>
        <w:rPr>
          <w:color w:val="000000"/>
        </w:rPr>
        <w:t xml:space="preserve"> </w:t>
      </w:r>
      <w:r>
        <w:rPr>
          <w:rFonts w:ascii="Times New Roman;serif" w:hAnsi="Times New Roman;serif"/>
          <w:b w:val="false"/>
          <w:color w:val="000000"/>
          <w:sz w:val="22"/>
        </w:rPr>
        <w:t>$21.5 million for the three months ended September 30, 2026, compared to the same period in 2025,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$36.0 million increase primarily due to higher pre-tax income in the third quarter of 2026; partially offset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 $6.4 million decrease primarily due to higher equity AFUDC;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$4.6 million decrease primarily related to higher energy production income tax credits in the third quarter of 2026;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$4.2 million decrease primarily due to higher amortization of EDIT.</w:t>
      </w:r>
    </w:p>
    <w:p>
      <w:pPr>
        <w:pStyle w:val="TextBody"/>
        <w:bidi w:val="0"/>
        <w:spacing w:lineRule="auto" w:line="288" w:before="0" w:after="120"/>
        <w:jc w:val="left"/>
      </w:pPr>
      <w:r>
        <w:rPr>
          <w:rFonts w:ascii="Times New Roman;serif" w:hAnsi="Times New Roman;serif"/>
          <w:b w:val="false"/>
          <w:color w:val="000000"/>
          <w:sz w:val="22"/>
        </w:rPr>
        <w:t>Evergy's income tax expense increased</w:t>
      </w:r>
      <w:r>
        <w:rPr>
          <w:color w:val="000000"/>
        </w:rPr>
        <w:t xml:space="preserve"> </w:t>
      </w:r>
      <w:r>
        <w:rPr>
          <w:rFonts w:ascii="Times New Roman;serif" w:hAnsi="Times New Roman;serif"/>
          <w:b w:val="false"/>
          <w:color w:val="000000"/>
          <w:sz w:val="22"/>
        </w:rPr>
        <w:t>$21.7 million year to date September 30, 2026, compared to the same period in 2025,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$51.5 million increase primarily due to higher pre-tax income in 2026; partially offset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$10.5 million decrease primarily due to higher equity AFUDC;</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$9.9 million decrease primarily related to higher energy production income tax credits in 2026;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 $5.8 million decrease primarily due to higher amortization of EDIT.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LIQUIDITY AND CAPITAL RESOURCES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Evergy relies primarily upon cash from operations, short-term borrowings, debt, equity and hybrid security issuances and its existing cash and cash equivalents to fund its capital requirements. Evergy's capital requirements primarily consist of capital expenditures, payment of contractual obligations and other commitments, and the payment of dividends to shareholders. Evergy expects cash flows to be sufficient to meet existing short-term capital requirements. See the Evergy Companies' combined 2025 Form 10-K for more information on Evergy's sources and uses of cash.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Short-Term Borrowings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June 2026, Evergy entered into a $3.5 billion master credit facility that expires in June 2031. Evergy, Inc., Evergy Kansas Central, Evergy Metro and Evergy Missouri West have borrowing capacity under the master credit facility with specific sublimits for each borrower. As of September 30, 2026, Evergy had $2,698.5 million of available borrowing capacity under its master credit facility. The available borrowing capacity under the master credit facility consisted of $600.0 million for Evergy, Inc., $748.9 million for Evergy Kansas Central, $693.7 million for Evergy Metro and $655.9 million for Evergy Missouri West. The Evergy Companies' borrowing capacity under the master credit facility also supports their issuance of commercial paper.</w:t>
      </w:r>
    </w:p>
    <w:p>
      <w:pPr>
        <w:pStyle w:val="TextBody"/>
        <w:bidi w:val="0"/>
        <w:spacing w:lineRule="auto" w:line="288" w:before="120" w:after="240"/>
        <w:jc w:val="left"/>
        <w:rPr>
          <w:rFonts w:ascii="Times New Roman;serif" w:hAnsi="Times New Roman;serif"/>
          <w:b w:val="false"/>
          <w:color w:val="000000"/>
          <w:sz w:val="22"/>
        </w:rPr>
      </w:pPr>
      <w:r>
        <w:rPr>
          <w:rFonts w:ascii="Times New Roman;serif" w:hAnsi="Times New Roman;serif"/>
          <w:b w:val="false"/>
          <w:color w:val="000000"/>
          <w:sz w:val="22"/>
        </w:rPr>
        <w:t>Along with cash flows from operations and receivable sales facilities, Evergy generally uses borrowings under its master credit facility and the issuance of commercial paper to meet its day-to-day cash flow requirements. Evergy may also utilize these short-term borrowings to repay maturing long-term debt until such debt is refinanced.</w:t>
      </w:r>
    </w:p>
    <w:p>
      <w:pPr>
        <w:pStyle w:val="TextBody"/>
        <w:bidi w:val="0"/>
        <w:spacing w:lineRule="auto" w:line="288" w:before="120" w:after="240"/>
        <w:jc w:val="left"/>
        <w:rPr>
          <w:rFonts w:ascii="Times New Roman;serif" w:hAnsi="Times New Roman;serif"/>
          <w:b w:val="false"/>
          <w:color w:val="000000"/>
          <w:sz w:val="22"/>
        </w:rPr>
      </w:pPr>
      <w:r>
        <w:rPr>
          <w:rFonts w:ascii="Times New Roman;serif" w:hAnsi="Times New Roman;serif"/>
          <w:b w:val="false"/>
          <w:color w:val="000000"/>
          <w:sz w:val="22"/>
        </w:rPr>
        <w:t>See Note 7 to the consolidated financial statements for additional information regarding significant short-term borrowings.</w:t>
      </w:r>
    </w:p>
    <w:p>
      <w:pPr>
        <w:pStyle w:val="TextBody"/>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Long-Term Debt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April 2026, Evergy Missouri West filed an application with FERC requesting authorization to issue long-term debt securities of up to $1.3 billion outstanding at any one time. In July 2026, FERC approved Evergy Missouri West's request and the authorization expires in July 2028. As a result of Evergy Missouri West's long-term debt issuances of $300.0 million in May 2026 and $300.0 million in September 2026, $0.7 billion of long-term debt capacity remains available under Evergy Missouri West's long-term debt authorization.</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See Note 8 to the consolidated financial statements for information regarding significant debt issuances.</w:t>
      </w:r>
    </w:p>
    <w:p>
      <w:pPr>
        <w:pStyle w:val="TextBody"/>
        <w:bidi w:val="0"/>
        <w:spacing w:lineRule="auto" w:line="288" w:before="0" w:after="0"/>
        <w:ind w:left="0" w:right="0" w:hanging="720"/>
        <w:jc w:val="left"/>
        <w:rPr>
          <w:rFonts w:ascii="Times New Roman;serif" w:hAnsi="Times New Roman;serif"/>
          <w:b/>
          <w:color w:val="000000"/>
          <w:sz w:val="22"/>
        </w:rPr>
      </w:pPr>
      <w:r>
        <w:rPr>
          <w:rFonts w:ascii="Times New Roman;serif" w:hAnsi="Times New Roman;serif"/>
          <w:b/>
          <w:color w:val="000000"/>
          <w:sz w:val="22"/>
        </w:rPr>
        <w:t>Pensions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6 to the consolidated financial statements for information regarding Evergy's pension and post-retirement plan contributions.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ATM Program</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See Note 13 to the consolidated financial statements for information regarding Evergy's ATM Program.</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Debt Covenants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of September 30, 2026, Evergy was in compliance with all debt covenants under the master credit facility and debt instruments that contain restrictions that require the maintenance of certain capitalization and leverage ratios. See Note 7 to the consolidated financial statements for more information.</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presents Evergy's cash flows from operating, investing and financing activities. </w:t>
      </w:r>
    </w:p>
    <w:tbl>
      <w:tblPr>
        <w:tblW w:w="5547" w:type="dxa"/>
        <w:jc w:val="center"/>
        <w:tblInd w:w="0" w:type="dxa"/>
        <w:tblLayout w:type="fixed"/>
        <w:tblCellMar>
          <w:top w:w="28" w:type="dxa"/>
          <w:left w:w="28" w:type="dxa"/>
          <w:bottom w:w="28" w:type="dxa"/>
          <w:right w:w="28" w:type="dxa"/>
        </w:tblCellMar>
      </w:tblPr>
      <w:tblGrid>
        <w:gridCol w:w="1207"/>
        <w:gridCol w:w="1060"/>
        <w:gridCol w:w="1063"/>
        <w:gridCol w:w="211"/>
        <w:gridCol w:w="766"/>
        <w:gridCol w:w="109"/>
        <w:gridCol w:w="211"/>
        <w:gridCol w:w="766"/>
        <w:gridCol w:w="154"/>
      </w:tblGrid>
      <w:tr>
        <w:tc>
          <w:tcPr>
            <w:tcW w:w="1207"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3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c>
          <w:tcPr>
            <w:tcW w:w="333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1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in Investing Activities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3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7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792.1 </w:t>
            </w:r>
          </w:p>
        </w:tc>
        <w:tc>
          <w:tcPr>
            <w:tcW w:w="109"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204.5 </w:t>
            </w:r>
          </w:p>
        </w:tc>
        <w:tc>
          <w:tcPr>
            <w:tcW w:w="154" w:type="dxa"/>
            <w:tcBorders>
              <w:bottom w:val="single" w:sz="1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Cash Flows from Operating Activities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Evergy's cash flows from operating activities decreased $12.0 million year to date September 30, 2026, compared to the same period in 2025, primarily driven by a decrease in fuel recovery mechanism net collections at Evergy Kansas Central and Evergy Missouri West, partially offset by an increase in fuel recovery mechanism net collections at Evergy Metro. </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Cash Flows used in Investing Activities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cash flows used in investing activities increased $582.9 million year to date September 30, 2026, compared to the same period in 2025, primarily driven by a $782.2 million increase in additions to property, plant and equipment due to increased spending for a variety of capital projects, including construction of new generating facilities.</w:t>
      </w:r>
    </w:p>
    <w:p>
      <w:pPr>
        <w:pStyle w:val="TextBody"/>
        <w:bidi w:val="0"/>
        <w:spacing w:lineRule="auto" w:line="256" w:before="0" w:after="0"/>
        <w:jc w:val="left"/>
        <w:rPr>
          <w:rFonts w:ascii="Times New Roman;serif" w:hAnsi="Times New Roman;serif"/>
          <w:b/>
          <w:i/>
          <w:color w:val="000000"/>
          <w:sz w:val="22"/>
        </w:rPr>
      </w:pPr>
      <w:r>
        <w:rPr>
          <w:rFonts w:ascii="Times New Roman;serif" w:hAnsi="Times New Roman;serif"/>
          <w:b/>
          <w:i/>
          <w:color w:val="000000"/>
          <w:sz w:val="22"/>
        </w:rPr>
        <w:t>Cash Flows from Financing Activities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Evergy's cash flows from financing activities increased $587.6 million year to date September 30, 2026, compared to the same period in 2025, primarily driven by:</w:t>
      </w:r>
    </w:p>
    <w:p>
      <w:pPr>
        <w:pStyle w:val="TextBody"/>
        <w:bidi w:val="0"/>
        <w:spacing w:lineRule="auto" w:line="288" w:before="0" w:after="120"/>
        <w:ind w:left="0" w:right="0" w:hanging="360"/>
        <w:jc w:val="left"/>
      </w:pPr>
      <w:r>
        <w:rPr>
          <w:color w:val="000000"/>
          <w:shd w:fill="FFFFFF" w:val="clear"/>
        </w:rPr>
        <w:t>•</w:t>
      </w:r>
      <w:r>
        <w:rPr>
          <w:rFonts w:ascii="Times New Roman;serif" w:hAnsi="Times New Roman;serif"/>
          <w:b w:val="false"/>
          <w:color w:val="000000"/>
          <w:sz w:val="22"/>
          <w:shd w:fill="FFFFFF" w:val="clear"/>
        </w:rPr>
        <w:t>a</w:t>
      </w:r>
      <w:r>
        <w:rPr>
          <w:color w:val="000000"/>
        </w:rPr>
        <w:t xml:space="preserve"> </w:t>
      </w:r>
      <w:r>
        <w:rPr>
          <w:rFonts w:ascii="Times New Roman;serif" w:hAnsi="Times New Roman;serif"/>
          <w:b w:val="false"/>
          <w:color w:val="000000"/>
          <w:sz w:val="22"/>
        </w:rPr>
        <w:t>$1,295.4</w:t>
      </w:r>
      <w:r>
        <w:rPr>
          <w:color w:val="000000"/>
          <w:shd w:fill="FFFFFF" w:val="clear"/>
        </w:rPr>
        <w:t xml:space="preserve"> </w:t>
      </w:r>
      <w:r>
        <w:rPr>
          <w:rFonts w:ascii="Times New Roman;serif" w:hAnsi="Times New Roman;serif"/>
          <w:b w:val="false"/>
          <w:color w:val="000000"/>
          <w:sz w:val="22"/>
          <w:shd w:fill="FFFFFF" w:val="clear"/>
        </w:rPr>
        <w:t>million increase in proceeds from long-term debt, net due to the issuance of $2,308.1 million of long-term debt year to date September 30, 2026, compared to the issuance of $1,012.7 million of long-term debt for the same period in 2025; and</w:t>
      </w:r>
    </w:p>
    <w:p>
      <w:pPr>
        <w:pStyle w:val="TextBody"/>
        <w:bidi w:val="0"/>
        <w:spacing w:lineRule="auto" w:line="288" w:before="0" w:after="120"/>
        <w:ind w:left="0" w:right="0" w:hanging="360"/>
        <w:jc w:val="left"/>
      </w:pPr>
      <w:r>
        <w:rPr>
          <w:color w:val="000000"/>
          <w:shd w:fill="FFFFFF" w:val="clear"/>
        </w:rPr>
        <w:t>•</w:t>
      </w:r>
      <w:r>
        <w:rPr>
          <w:rFonts w:ascii="Times New Roman;serif" w:hAnsi="Times New Roman;serif"/>
          <w:b w:val="false"/>
          <w:color w:val="000000"/>
          <w:sz w:val="22"/>
          <w:shd w:fill="FFFFFF" w:val="clear"/>
        </w:rPr>
        <w:t>a $321.4 million increase in proceeds from the issuance of common stock driven by Evergy, Inc.'s issuance of approximately 3.9 million shares of common stock for net proceeds of approximately $321.2 million under Evergy, Inc.'s ATM Program in 2026; partially offset by</w:t>
      </w:r>
    </w:p>
    <w:p>
      <w:pPr>
        <w:pStyle w:val="TextBody"/>
        <w:bidi w:val="0"/>
        <w:spacing w:lineRule="auto" w:line="288" w:before="0" w:after="120"/>
        <w:ind w:left="0" w:right="0" w:hanging="360"/>
        <w:jc w:val="left"/>
      </w:pPr>
      <w:r>
        <w:rPr>
          <w:color w:val="000000"/>
          <w:shd w:fill="FFFFFF" w:val="clear"/>
        </w:rPr>
        <w:t>•</w:t>
      </w:r>
      <w:r>
        <w:rPr>
          <w:rFonts w:ascii="Times New Roman;serif" w:hAnsi="Times New Roman;serif"/>
          <w:b w:val="false"/>
          <w:color w:val="000000"/>
          <w:sz w:val="22"/>
          <w:shd w:fill="FFFFFF" w:val="clear"/>
        </w:rPr>
        <w:t xml:space="preserve">a $643.3 million decrease in short-term debt, net driven by: </w:t>
      </w:r>
    </w:p>
    <w:p>
      <w:pPr>
        <w:pStyle w:val="TextBody"/>
        <w:bidi w:val="0"/>
        <w:spacing w:lineRule="auto" w:line="288" w:before="0" w:after="120"/>
        <w:ind w:left="0" w:right="0" w:hanging="360"/>
        <w:jc w:val="left"/>
      </w:pPr>
      <w:r>
        <w:rPr>
          <w:color w:val="000000"/>
          <w:shd w:fill="FFFFFF" w:val="clear"/>
        </w:rPr>
        <w:t>◦</w:t>
      </w:r>
      <w:r>
        <w:rPr>
          <w:rFonts w:ascii="Times New Roman;serif" w:hAnsi="Times New Roman;serif"/>
          <w:b w:val="false"/>
          <w:color w:val="000000"/>
          <w:sz w:val="22"/>
          <w:shd w:fill="FFFFFF" w:val="clear"/>
        </w:rPr>
        <w:t>a $722.1 million decrease in short-term debt at Evergy, Inc. primarily due to the repayment of commercial paper borrowings with proceeds from long-term debt in 2026 and higher borrowings in 2025; and</w:t>
      </w:r>
    </w:p>
    <w:p>
      <w:pPr>
        <w:pStyle w:val="TextBody"/>
        <w:bidi w:val="0"/>
        <w:spacing w:lineRule="auto" w:line="288" w:before="0" w:after="120"/>
        <w:ind w:left="0" w:right="0" w:hanging="360"/>
        <w:jc w:val="left"/>
      </w:pPr>
      <w:r>
        <w:rPr>
          <w:color w:val="000000"/>
          <w:shd w:fill="FFFFFF" w:val="clear"/>
        </w:rPr>
        <w:t>◦</w:t>
      </w:r>
      <w:r>
        <w:rPr>
          <w:rFonts w:ascii="Times New Roman;serif" w:hAnsi="Times New Roman;serif"/>
          <w:b w:val="false"/>
          <w:color w:val="000000"/>
          <w:sz w:val="22"/>
          <w:shd w:fill="FFFFFF" w:val="clear"/>
        </w:rPr>
        <w:t xml:space="preserve">a $445.9 million decrease in short-term debt at Evergy Missouri West primarily due to the repayment of commercial paper borrowings with proceeds from an equity contribution in 2026 and higher borrowings in 2025; partially offset by </w:t>
      </w:r>
    </w:p>
    <w:p>
      <w:pPr>
        <w:pStyle w:val="TextBody"/>
        <w:bidi w:val="0"/>
        <w:spacing w:lineRule="auto" w:line="288" w:before="0" w:after="120"/>
        <w:ind w:left="0" w:right="0" w:hanging="360"/>
        <w:jc w:val="left"/>
      </w:pPr>
      <w:r>
        <w:rPr>
          <w:color w:val="000000"/>
          <w:shd w:fill="FFFFFF" w:val="clear"/>
        </w:rPr>
        <w:t>◦</w:t>
      </w:r>
      <w:r>
        <w:rPr>
          <w:rFonts w:ascii="Times New Roman;serif" w:hAnsi="Times New Roman;serif"/>
          <w:b w:val="false"/>
          <w:color w:val="000000"/>
          <w:sz w:val="22"/>
          <w:shd w:fill="FFFFFF" w:val="clear"/>
        </w:rPr>
        <w:t>a $409.2 million increase in short-term debt at Evergy Kansas Central primarily due to the repayment of commercial paper borrowings with proceeds from long-term debt issuances in 2025; and</w:t>
      </w:r>
    </w:p>
    <w:p>
      <w:pPr>
        <w:pStyle w:val="TextBody"/>
        <w:bidi w:val="0"/>
        <w:spacing w:lineRule="auto" w:line="288" w:before="0" w:after="120"/>
        <w:ind w:left="0" w:right="0" w:hanging="360"/>
        <w:jc w:val="left"/>
      </w:pPr>
      <w:r>
        <w:rPr>
          <w:color w:val="000000"/>
          <w:shd w:fill="FFFFFF" w:val="clear"/>
        </w:rPr>
        <w:t>◦</w:t>
      </w:r>
      <w:r>
        <w:rPr>
          <w:rFonts w:ascii="Times New Roman;serif" w:hAnsi="Times New Roman;serif"/>
          <w:b w:val="false"/>
          <w:color w:val="000000"/>
          <w:sz w:val="22"/>
          <w:shd w:fill="FFFFFF" w:val="clear"/>
        </w:rPr>
        <w:t>a $115.6 million increase in short-term debt at Evergy Metro primarily due to higher borrowings in 2026 and the repayment of commercial paper borrowings with proceeds from long-term debt issuances in 2025.</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 xml:space="preserve">a $330.0 </w:t>
      </w:r>
      <w:r>
        <w:rPr>
          <w:rFonts w:ascii="Times New Roman;serif" w:hAnsi="Times New Roman;serif"/>
          <w:b w:val="false"/>
          <w:color w:val="000000"/>
          <w:sz w:val="22"/>
          <w:shd w:fill="FFFFFF" w:val="clear"/>
        </w:rPr>
        <w:t xml:space="preserve">million decrease due to retirements of long-term debt primarily driven by Evergy Kansas Central's repayment of $350.0 million of 2.55% FMBs in 2026, Evergy Inc.'s repurchase of $244.1 million aggregate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 xml:space="preserve">principal amount of the Convertible Notes in 2026, and Evergy Metro's remarketing of its Series 2023 EIRR bonds totaling $79.5 million in 2026, as compared to Evergy Metro's repayment of $350.0 million of 3.65% Senior Notes and Evergy Missouri West's repayment of $36.0 million of 3.49% Senior Notes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EVERGY KANSAS CENTRAL, INC.</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MANAGEMENT'S NARRATIVE ANALYSIS OF RESULTS OF OPERATIONS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below results of operations and related discussion for Evergy Kansas Central are presented in a reduced disclosure format in accordance with General Instruction (H)(2)(a) to Form 10-Q.</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Evergy Kansas Central's comparative results of operations. </w:t>
      </w:r>
    </w:p>
    <w:tbl>
      <w:tblPr>
        <w:tblW w:w="9762" w:type="dxa"/>
        <w:jc w:val="left"/>
        <w:tblInd w:w="0" w:type="dxa"/>
        <w:tblLayout w:type="fixed"/>
        <w:tblCellMar>
          <w:top w:w="28" w:type="dxa"/>
          <w:left w:w="28" w:type="dxa"/>
          <w:bottom w:w="28" w:type="dxa"/>
          <w:right w:w="28" w:type="dxa"/>
        </w:tblCellMar>
      </w:tblPr>
      <w:tblGrid>
        <w:gridCol w:w="2001"/>
        <w:gridCol w:w="1757"/>
        <w:gridCol w:w="1761"/>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154"/>
      </w:tblGrid>
      <w:tr>
        <w:tc>
          <w:tcPr>
            <w:tcW w:w="200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108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481" w:type="dxa"/>
            <w:gridSpan w:val="4"/>
            <w:tcBorders/>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earnings of equity method investees, net of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51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Evergy Kansas Central, Inc.</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Gross Margin (GAAP) and Utility Gross Margin (non-GAAP)</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 Kansas Central's gross margin (GAAP) and MWhs sold and reconciles the differences between Evergy Kansas Central's gross margin (GAAP) and Evergy Kansas Central's utility gross margin (non-GAAP). See "Executive Summary - Non-GAAP Measures" for additional information regarding gross margin (GAAP) and utility gross margin (non-GAAP).</w:t>
      </w:r>
    </w:p>
    <w:tbl>
      <w:tblPr>
        <w:tblW w:w="10205" w:type="dxa"/>
        <w:jc w:val="left"/>
        <w:tblInd w:w="0" w:type="dxa"/>
        <w:tblLayout w:type="fixed"/>
        <w:tblCellMar>
          <w:top w:w="28" w:type="dxa"/>
          <w:left w:w="28" w:type="dxa"/>
          <w:bottom w:w="28" w:type="dxa"/>
          <w:right w:w="28" w:type="dxa"/>
        </w:tblCellMar>
      </w:tblPr>
      <w:tblGrid>
        <w:gridCol w:w="731"/>
        <w:gridCol w:w="492"/>
        <w:gridCol w:w="493"/>
        <w:gridCol w:w="241"/>
        <w:gridCol w:w="895"/>
        <w:gridCol w:w="124"/>
        <w:gridCol w:w="124"/>
        <w:gridCol w:w="124"/>
        <w:gridCol w:w="124"/>
        <w:gridCol w:w="241"/>
        <w:gridCol w:w="723"/>
        <w:gridCol w:w="124"/>
        <w:gridCol w:w="124"/>
        <w:gridCol w:w="124"/>
        <w:gridCol w:w="124"/>
        <w:gridCol w:w="241"/>
        <w:gridCol w:w="895"/>
        <w:gridCol w:w="124"/>
        <w:gridCol w:w="124"/>
        <w:gridCol w:w="124"/>
        <w:gridCol w:w="124"/>
        <w:gridCol w:w="412"/>
        <w:gridCol w:w="414"/>
        <w:gridCol w:w="201"/>
        <w:gridCol w:w="124"/>
        <w:gridCol w:w="124"/>
        <w:gridCol w:w="124"/>
        <w:gridCol w:w="290"/>
        <w:gridCol w:w="290"/>
        <w:gridCol w:w="287"/>
        <w:gridCol w:w="124"/>
        <w:gridCol w:w="124"/>
        <w:gridCol w:w="124"/>
        <w:gridCol w:w="412"/>
        <w:gridCol w:w="414"/>
        <w:gridCol w:w="301"/>
      </w:tblGrid>
      <w:tr>
        <w:tc>
          <w:tcPr>
            <w:tcW w:w="73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c>
          <w:tcPr>
            <w:tcW w:w="1716"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and Expenses</w:t>
            </w:r>
          </w:p>
        </w:tc>
        <w:tc>
          <w:tcPr>
            <w:tcW w:w="3765"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MWhs Sold</w:t>
            </w:r>
          </w:p>
        </w:tc>
      </w:tr>
      <w:tr>
        <w:tc>
          <w:tcPr>
            <w:tcW w:w="1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revenues</w:t>
            </w:r>
          </w:p>
        </w:tc>
        <w:tc>
          <w:tcPr>
            <w:tcW w:w="43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(thousands)</w:t>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retail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revenues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22,663 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SPP network transmission costs</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(322.0)</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Operating and maintenance </w:t>
            </w:r>
            <w:r>
              <w:rPr>
                <w:rFonts w:ascii="Times New Roman;serif" w:hAnsi="Times New Roman;serif"/>
                <w:b w:val="false"/>
                <w:color w:val="000000"/>
                <w:sz w:val="13"/>
              </w:rPr>
              <w:t>(a)</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991.8</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168.6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823.2</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Operating and maintenance </w:t>
            </w:r>
            <w:r>
              <w:rPr>
                <w:rFonts w:ascii="Times New Roman;serif" w:hAnsi="Times New Roman;serif"/>
                <w:b w:val="false"/>
                <w:color w:val="000000"/>
                <w:sz w:val="13"/>
              </w:rPr>
              <w:t>(a)</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Utility gross margin (non-GAAP)</w:t>
            </w:r>
          </w:p>
        </w:tc>
        <w:tc>
          <w:tcPr>
            <w:tcW w:w="2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1,817.0</w:t>
            </w:r>
            <w:r>
              <w:rPr>
                <w:color w:val="000000"/>
              </w:rPr>
              <w:t>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3"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217.3</w:t>
            </w:r>
            <w:r>
              <w:rPr>
                <w:color w:val="000000"/>
              </w:rPr>
              <w:t>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95"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1,599.7</w:t>
            </w:r>
            <w:r>
              <w:rPr>
                <w:color w:val="000000"/>
              </w:rPr>
              <w:t> </w:t>
            </w:r>
          </w:p>
        </w:tc>
        <w:tc>
          <w:tcPr>
            <w:tcW w:w="124" w:type="dxa"/>
            <w:tcBorders>
              <w:top w:val="single" w:sz="8" w:space="0" w:color="000000"/>
              <w:bottom w:val="single" w:sz="1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36"/>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12"/>
              </w:rPr>
              <w:t xml:space="preserve">(a) </w:t>
            </w:r>
            <w:r>
              <w:rPr>
                <w:rFonts w:ascii="Times New Roman;serif" w:hAnsi="Times New Roman;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$193.7 million and $179.8 million year to date September 30, 2026 and 2025, respectively.</w:t>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Evergy Kansas Central's gross margin (GAAP) increased $168.6 million year to date September 30, 2026, compared to the same period in 2025, and Evergy Kansas Central's utility gross margin (non-GAAP) increased $217.3 million year to date September 30, 2026, compared to the same period in 2025, both measures were driven by: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 $108.0 million increase from new Evergy Kansas Central retail rates effective in October 2025;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$73.5 million increase primarily due to favorable weather (cooling degree days increased 38%, partially offset by a 23% decrease in heating degree days) and higher weather-normalized demand, including higher demand from a large load industrial customer;</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$20.3 million increase in transmission revenue primarily due to updated transmission costs reflected in Evergy Kansas Central's FERC TFR effective in January 2026 and TFR settlement;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$15.5 million increase in revenue related to non-regulated energy marketing activity.</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Additionally, the increase in Evergy Kansas Central's gross margin (GAAP) was also impacted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$28.3 million increase in depreciation and amortization as further described below;</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$16.9 million increase in operating and maintenance expenses which are determined to be directly attributable to revenue-producing activities primarily driven by an increase in transmission and distribution operating and maintenance expense as further described below; and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 $3.5 million increase in taxes other than income tax.</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Operating and Maintenance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Kansas Central's operating and maintenance expense increased $30.8 million year to date September 30, 2026, compared to the same period in 2025,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an $11.1 million increase in transmission and distribution operating and maintenance expenses primarily due to higher contractor costs and vegetation management costs;</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$3.8 million increase in plant operating and maintenance expense at coal-fired generating facilities primarily due to a $5.0 million increase at JEC driven by a major maintenance outage in 2026, partially offset by a $1.8 million decrease at Lawrence Energy Center driven by a major maintenance outage in 2025;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 $3.6 million increase in general and administrative labor and employee benefits expense primarily driven by higher medical claims.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Depreciation and Amortization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Kansas Central's depreciation and amortization expense increased $28.3 million year to date September 30, 2026, compared to the same period in 2025, primarily due to capital additions.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Other Income, Net</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Kansas Central's other income, net increased $28.2 million year to date September 30, 2026, compared to the same period in 2025,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$16.1 million increase due to higher COLI proceeds in 2026;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 $14.6 million increase in equity AFUDC primarily driven by higher average CWIP balances and lower average short-term debt in 2026.</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Interest Expense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Kansas Central's interest expense increased $15.0 million year to date September 30, 2026, compared to the same period in 2025,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$23.2 million increase due to issuances of long-term debt;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an $11.2 million increase due to decreases in carrying costs deferred to a regulatory asset in accordance with plant-in-service accounting (PISA); partially offset by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an $8.3 million decrease due to the repayment of long-term debt;</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$4.7 million decrease in interest expense on short-term borrowings primarily due to lower short-term debt balances in 2026;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 $3.8 million decrease due to higher debt AFUDC driven by higher CWIP balances in 2026.</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Kansas Central Income Tax Expense</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Kansas Central's income tax expense increased $9.3 million year to date September 30, 2026, compared to the same period in 2025, primarily driven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$37.2 million increase primarily due to higher pre-tax income in 2026; partially offset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$13.1 million decrease primarily related to higher energy production income tax credits in 2026;</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 xml:space="preserve">a $6.1 million decrease primarily due to higher amortization of EDIT; </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$4.6 million decrease primarily due to higher equity AFUDC; and</w:t>
      </w:r>
    </w:p>
    <w:p>
      <w:pPr>
        <w:pStyle w:val="TextBody"/>
        <w:bidi w:val="0"/>
        <w:spacing w:lineRule="auto" w:line="288" w:before="0" w:after="240"/>
        <w:ind w:left="0" w:right="0" w:hanging="360"/>
        <w:jc w:val="left"/>
      </w:pPr>
      <w:r>
        <w:rPr>
          <w:color w:val="000000"/>
        </w:rPr>
        <w:t>•</w:t>
      </w:r>
      <w:r>
        <w:rPr>
          <w:rFonts w:ascii="Times New Roman;serif" w:hAnsi="Times New Roman;serif"/>
          <w:b w:val="false"/>
          <w:color w:val="000000"/>
          <w:sz w:val="22"/>
        </w:rPr>
        <w:t>a $2.6 million decrease primarily due to higher expected COLI proceeds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120" w:after="240"/>
        <w:jc w:val="center"/>
        <w:rPr>
          <w:rFonts w:ascii="Times New Roman;serif" w:hAnsi="Times New Roman;serif"/>
          <w:b/>
          <w:color w:val="000000"/>
          <w:sz w:val="22"/>
        </w:rPr>
      </w:pPr>
      <w:r>
        <w:rPr>
          <w:rFonts w:ascii="Times New Roman;serif" w:hAnsi="Times New Roman;serif"/>
          <w:b/>
          <w:color w:val="000000"/>
          <w:sz w:val="22"/>
        </w:rPr>
        <w:t>EVERGY METRO, INC.</w:t>
      </w:r>
    </w:p>
    <w:p>
      <w:pPr>
        <w:pStyle w:val="TextBody"/>
        <w:bidi w:val="0"/>
        <w:spacing w:lineRule="auto" w:line="288" w:before="0" w:after="240"/>
        <w:jc w:val="left"/>
        <w:rPr>
          <w:rFonts w:ascii="Times New Roman;serif" w:hAnsi="Times New Roman;serif"/>
          <w:b/>
          <w:color w:val="000000"/>
          <w:sz w:val="22"/>
          <w:u w:val="single"/>
        </w:rPr>
      </w:pPr>
      <w:r>
        <w:rPr>
          <w:rFonts w:ascii="Times New Roman;serif" w:hAnsi="Times New Roman;serif"/>
          <w:b/>
          <w:color w:val="000000"/>
          <w:sz w:val="22"/>
          <w:u w:val="single"/>
        </w:rPr>
        <w:t>MANAGEMENT'S NARRATIVE ANALYSIS OF RESULTS OF OPERATIONS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below results of operations and related discussion for Evergy Metro are presented in a reduced disclosure format in accordance with General Instruction (H)(2)(a) to Form 10-Q.</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Evergy Metro's comparative results of operations. </w:t>
      </w:r>
    </w:p>
    <w:tbl>
      <w:tblPr>
        <w:tblW w:w="6401" w:type="dxa"/>
        <w:jc w:val="left"/>
        <w:tblInd w:w="0" w:type="dxa"/>
        <w:tblLayout w:type="fixed"/>
        <w:tblCellMar>
          <w:top w:w="28" w:type="dxa"/>
          <w:left w:w="28" w:type="dxa"/>
          <w:bottom w:w="28" w:type="dxa"/>
          <w:right w:w="28" w:type="dxa"/>
        </w:tblCellMar>
      </w:tblPr>
      <w:tblGrid>
        <w:gridCol w:w="940"/>
        <w:gridCol w:w="826"/>
        <w:gridCol w:w="828"/>
        <w:gridCol w:w="211"/>
        <w:gridCol w:w="766"/>
        <w:gridCol w:w="109"/>
        <w:gridCol w:w="109"/>
        <w:gridCol w:w="109"/>
        <w:gridCol w:w="109"/>
        <w:gridCol w:w="211"/>
        <w:gridCol w:w="616"/>
        <w:gridCol w:w="109"/>
        <w:gridCol w:w="109"/>
        <w:gridCol w:w="109"/>
        <w:gridCol w:w="109"/>
        <w:gridCol w:w="211"/>
        <w:gridCol w:w="766"/>
        <w:gridCol w:w="154"/>
      </w:tblGrid>
      <w:t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9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108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and maintenance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94"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140" w:after="283"/>
        <w:jc w:val="left"/>
        <w:rPr>
          <w:rFonts w:ascii="Times New Roman;serif" w:hAnsi="Times New Roman;serif"/>
          <w:b/>
          <w:color w:val="000000"/>
          <w:sz w:val="22"/>
        </w:rPr>
      </w:pPr>
      <w:r>
        <w:rPr>
          <w:rFonts w:ascii="Times New Roman;serif" w:hAnsi="Times New Roman;serif"/>
          <w:b/>
          <w:color w:val="000000"/>
          <w:sz w:val="22"/>
        </w:rPr>
        <w:t>Evergy Metro Gross Margin (GAAP) and Utility Gross Margin (non-GAAP)</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Evergy Metro's gross margin (GAAP) and MWhs sold and reconciles the differences between Evergy Metro's gross margin (GAAP) and Evergy Metro's utility gross margin (non-GAAP). See "Executive Summary - Non-GAAP Measures" for additional information regarding gross margin (GAAP) and utility gross margin (non-GAAP).</w:t>
      </w:r>
    </w:p>
    <w:tbl>
      <w:tblPr>
        <w:tblW w:w="10205" w:type="dxa"/>
        <w:jc w:val="left"/>
        <w:tblInd w:w="0" w:type="dxa"/>
        <w:tblLayout w:type="fixed"/>
        <w:tblCellMar>
          <w:top w:w="28" w:type="dxa"/>
          <w:left w:w="28" w:type="dxa"/>
          <w:bottom w:w="28" w:type="dxa"/>
          <w:right w:w="28" w:type="dxa"/>
        </w:tblCellMar>
      </w:tblPr>
      <w:tblGrid>
        <w:gridCol w:w="744"/>
        <w:gridCol w:w="504"/>
        <w:gridCol w:w="506"/>
        <w:gridCol w:w="244"/>
        <w:gridCol w:w="904"/>
        <w:gridCol w:w="126"/>
        <w:gridCol w:w="126"/>
        <w:gridCol w:w="126"/>
        <w:gridCol w:w="126"/>
        <w:gridCol w:w="244"/>
        <w:gridCol w:w="609"/>
        <w:gridCol w:w="126"/>
        <w:gridCol w:w="126"/>
        <w:gridCol w:w="126"/>
        <w:gridCol w:w="126"/>
        <w:gridCol w:w="244"/>
        <w:gridCol w:w="904"/>
        <w:gridCol w:w="126"/>
        <w:gridCol w:w="126"/>
        <w:gridCol w:w="126"/>
        <w:gridCol w:w="126"/>
        <w:gridCol w:w="416"/>
        <w:gridCol w:w="418"/>
        <w:gridCol w:w="203"/>
        <w:gridCol w:w="126"/>
        <w:gridCol w:w="126"/>
        <w:gridCol w:w="126"/>
        <w:gridCol w:w="293"/>
        <w:gridCol w:w="293"/>
        <w:gridCol w:w="290"/>
        <w:gridCol w:w="126"/>
        <w:gridCol w:w="126"/>
        <w:gridCol w:w="126"/>
        <w:gridCol w:w="416"/>
        <w:gridCol w:w="418"/>
        <w:gridCol w:w="287"/>
      </w:tblGrid>
      <w:tr>
        <w:tc>
          <w:tcPr>
            <w:tcW w:w="74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c>
          <w:tcPr>
            <w:tcW w:w="1754"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3"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Revenues and Expenses</w:t>
            </w:r>
          </w:p>
        </w:tc>
        <w:tc>
          <w:tcPr>
            <w:tcW w:w="37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15"/>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MWhs Sold</w:t>
            </w:r>
          </w:p>
        </w:tc>
      </w:tr>
      <w:t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 to Date September 30</w:t>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 revenues</w:t>
            </w:r>
          </w:p>
        </w:tc>
        <w:tc>
          <w:tcPr>
            <w:tcW w:w="42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(millions)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(thousands)</w:t>
            </w:r>
          </w:p>
        </w:tc>
      </w:tr>
      <w:t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retail revenues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electric retail</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703 </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Wholesale revenues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Transmission revenues</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revenues</w:t>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15,629 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Fuel and purchased power</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Operating and maintenance </w:t>
            </w:r>
            <w:r>
              <w:rPr>
                <w:rFonts w:ascii="Times New Roman;serif" w:hAnsi="Times New Roman;serif"/>
                <w:b w:val="false"/>
                <w:color w:val="000000"/>
                <w:sz w:val="13"/>
              </w:rPr>
              <w:t>(a)</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other than income tax</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554.9</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55.6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499.3</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Operating and maintenance </w:t>
            </w:r>
            <w:r>
              <w:rPr>
                <w:rFonts w:ascii="Times New Roman;serif" w:hAnsi="Times New Roman;serif"/>
                <w:b w:val="false"/>
                <w:color w:val="000000"/>
                <w:sz w:val="13"/>
              </w:rPr>
              <w:t>(a)</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Taxes other than income tax </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Utility gross margin (non-GAAP)</w:t>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1,154.4</w:t>
            </w:r>
            <w:r>
              <w:rPr>
                <w:color w:val="000000"/>
              </w:rPr>
              <w:t> </w:t>
            </w:r>
          </w:p>
        </w:tc>
        <w:tc>
          <w:tcPr>
            <w:tcW w:w="1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72.2</w:t>
            </w:r>
            <w:r>
              <w:rPr>
                <w:color w:val="000000"/>
              </w:rPr>
              <w:t> </w:t>
            </w:r>
          </w:p>
        </w:tc>
        <w:tc>
          <w:tcPr>
            <w:tcW w:w="1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pPr>
            <w:r>
              <w:rPr>
                <w:rFonts w:ascii="Times New Roman;serif" w:hAnsi="Times New Roman;serif"/>
                <w:b/>
                <w:color w:val="000000"/>
                <w:sz w:val="20"/>
              </w:rPr>
              <w:t>1,082.2</w:t>
            </w:r>
            <w:r>
              <w:rPr>
                <w:color w:val="000000"/>
              </w:rPr>
              <w:t> </w:t>
            </w:r>
          </w:p>
        </w:tc>
        <w:tc>
          <w:tcPr>
            <w:tcW w:w="1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36"/>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left"/>
            </w:pPr>
            <w:r>
              <w:rPr>
                <w:rFonts w:ascii="Times New Roman;serif" w:hAnsi="Times New Roman;serif"/>
                <w:b w:val="false"/>
                <w:color w:val="000000"/>
                <w:sz w:val="12"/>
              </w:rPr>
              <w:t xml:space="preserve">(a) </w:t>
            </w:r>
            <w:r>
              <w:rPr>
                <w:rFonts w:ascii="Times New Roman;serif" w:hAnsi="Times New Roman;serif"/>
                <w:b w:val="false"/>
                <w:color w:val="000000"/>
                <w:sz w:val="18"/>
              </w:rPr>
              <w:t>Operating and maintenance expenses which are deemed to be directly attributable to revenue-producing activities include plant operating and maintenance expenses at generating units and transmission and distribution operating and maintenance expenses and have been separately presented in order to calculate gross margin as defined under GAAP. These amounts exclude general and administrative expenses not directly attributable to revenue-producing activities of $68.3 million and $63.2 million year to date September 30, 2026 and 2025, respectively.</w:t>
            </w:r>
          </w:p>
        </w:tc>
      </w:tr>
    </w:tbl>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Evergy Metro's gross margin (GAAP) increased $55.6 million year to date September 30, 2026, compared to the same period in 2025, and Evergy Metro's utility gross margin (non-GAAP) increased $72.2 million year to date September 30, 2026, compared to the same period in 2025, both measures were driven by a $72.2 million increase primarily due to favorable weather (cooling degree days increased 25%, partially offset by a 19% decrease in heating degree days) and higher weather-normalized demand from commercial and residential customers, including a data center customer that began taking service in 2026.</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Additionally, the increase in Evergy Metro's gross margin (GAAP) was also impacted by:</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$13.0 million increase in depreciation and amortization as further described below; and</w:t>
      </w:r>
    </w:p>
    <w:p>
      <w:pPr>
        <w:pStyle w:val="TextBody"/>
        <w:bidi w:val="0"/>
        <w:spacing w:lineRule="auto" w:line="288" w:before="0" w:after="120"/>
        <w:ind w:left="0" w:right="0" w:hanging="360"/>
        <w:jc w:val="left"/>
      </w:pPr>
      <w:r>
        <w:rPr>
          <w:color w:val="000000"/>
        </w:rPr>
        <w:t>•</w:t>
      </w:r>
      <w:r>
        <w:rPr>
          <w:rFonts w:ascii="Times New Roman;serif" w:hAnsi="Times New Roman;serif"/>
          <w:b w:val="false"/>
          <w:color w:val="000000"/>
          <w:sz w:val="22"/>
        </w:rPr>
        <w:t>a $3.1 million increase in operating and maintenance expenses which are determined to be directly attributable to revenue-producing activities.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Metro Operating and Maintenance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Metro's operating and maintenance expense increased $8.2 million year to date September 30, 2026, compared to the same period in 2025, primarily driven by a $7.0 million increase in transmission and distribution operating and maintenance expenses primarily due to higher contractor costs and vegetation management costs.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Metro Depreciation and Amortization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Metro's depreciation and amortization expense increased $13.0 million year to date September 30, 2026, compared to the same period in 2025, primarily due to capital additions.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Evergy Metro Income Tax Expense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Metro's income tax expense increased $11.9 million year to date September 30, 2026, compared to the same period in 2025, primarily driven by higher pre-tax income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pPr>
      <w:r>
        <w:rPr>
          <w:rFonts w:ascii="Times New Roman;serif" w:hAnsi="Times New Roman;serif"/>
          <w:b/>
          <w:color w:val="000000"/>
          <w:sz w:val="22"/>
        </w:rPr>
        <w:t>ITEM 3.  QUANTITATIVE AND QUALITATIVE DISCLOSURES ABOUT MARKET RISK</w:t>
      </w:r>
      <w:r>
        <w:rPr>
          <w:color w:val="000000"/>
        </w:rPr>
        <w:t>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In the ordinary course of business, Evergy faces risks that are either non-financial or non-quantifiable. Such risks principally include business, legal, operational and credit risks and are discussed elsewhere in this report as well as in the Evergy Companies' combined 2025 Form 10-K and therefore are not represented here. </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Evergy's interim period disclosures about market risk included in quarterly reports on Form 10-Q address material changes, if any, from the most recently filed annual report on Form 10-K. Therefore, these interim period disclosures should be read in conjunction with Part II, Item 7A, Quantitative and Qualitative Disclosures About Market Risk included in the Evergy Companies' combined 2025 Form 10-K. Evergy's exposure to market risk has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EVERGY</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There has been no change in Evergy's internal control over financial reporting (as defined in Rules 13a-15(f) and 15d-15(f) of the Exchange Act) that occurred during the quarterly period ended September 30, 2026,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EVERGY KANSAS CENTRAL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lineRule="auto" w:line="288" w:before="0" w:after="240"/>
        <w:jc w:val="left"/>
      </w:pPr>
      <w:r>
        <w:rPr>
          <w:rFonts w:ascii="Times New Roman;serif" w:hAnsi="Times New Roman;serif"/>
          <w:b w:val="false"/>
          <w:color w:val="000000"/>
          <w:sz w:val="22"/>
        </w:rPr>
        <w:t>Evergy Kansas Central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w:t>
      </w:r>
      <w:r>
        <w:rPr>
          <w:color w:val="000000"/>
        </w:rPr>
        <w:t xml:space="preserve"> </w:t>
      </w:r>
      <w:r>
        <w:rPr>
          <w:rFonts w:ascii="Times New Roman;serif" w:hAnsi="Times New Roman;serif"/>
          <w:b w:val="false"/>
          <w:color w:val="000000"/>
          <w:sz w:val="22"/>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There has been no change in Evergy Kansas Central's internal control over financial reporting (as defined in Rules 13a-15(f) and 15d-15(f) of the Exchange Act) that occurred during the quarterly period ended September 30, 2026,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EVERGY METRO</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Disclosure Controls and Procedures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Evergy Metro maintains a set of disclosure controls and procedures designed to provide reasonable assurance that information required to be disclosed by the Exchange Act is recorded, processed, summarized and reported within the time periods specified in the SEC’s rules and forms. In addition, the disclosure controls and procedures provide reasonable assurance that information required to be disclosed is accumulated and communicated to management, including to the chief executive officer and chief financial officer, allowing timely decisions regarding required disclosure. 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There has been no change in Evergy Metro's internal control over financial reporting (as defined in Rules 13a-15(f) and 15d-15(f) of the Exchange Act) that occurred during the quarterly period ended September 30, 2026, that has materially affected, or is reasonably likely to materially affect, its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Other Proceedings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Evergy Companies are parties to various lawsuits and regulatory proceedings in the ordinary course of their respective businesses.  For information regarding material lawsuits and proceedings, see Notes 4 and 11 to the consolidated financial statements.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Actual results in future periods for the Evergy Companies could differ materially from historical results and the forward-looking statements contained in this report. The business of the Evergy Companies is influenced by many factors that are difficult to predict, involve uncertainties that may materially affect actual results and are often beyond their control. Additional risks and uncertainties not presently known or that management currently believes to be immaterial may also adversely affect the Evergy Companies. Factors that might cause or contribute to such differences include, but are not limited to, those discussed in Part I, Item 1A, Risk Factors included in the 2025 Form 10-K for each of Evergy, Evergy Kansas Central and Evergy Metro, as well as Quarterly Reports on Form 10-Q and from time to time in Current Reports on Form 8-K filed by Evergy, Evergy Kansas Central and Evergy Metro. There have been no material changes with regard to those risk factors since the filing of the 2025 Form 10-K for each of Evergy, Evergy Kansas Central and Evergy Metro. This information, as well as the other information included in this report and in the other documents filed with the SEC, should be carefully considered before making an investment in the securities of the Evergy Companies. Risk factors of Evergy Kansas Central and Evergy Metro are also risk factors of Evergy.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Purchases of Equity Securities</w:t>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The following table provides information regarding purchases by Evergy of its equity securities that are registered pursuant to Section 12 of the Exchange Act during the three months ended September 30, 2026.</w:t>
      </w:r>
    </w:p>
    <w:tbl>
      <w:tblPr>
        <w:tblW w:w="9867" w:type="dxa"/>
        <w:jc w:val="left"/>
        <w:tblInd w:w="0" w:type="dxa"/>
        <w:tblLayout w:type="fixed"/>
        <w:tblCellMar>
          <w:top w:w="28" w:type="dxa"/>
          <w:left w:w="28" w:type="dxa"/>
          <w:bottom w:w="28" w:type="dxa"/>
          <w:right w:w="28" w:type="dxa"/>
        </w:tblCellMar>
      </w:tblPr>
      <w:tblGrid>
        <w:gridCol w:w="538"/>
        <w:gridCol w:w="473"/>
        <w:gridCol w:w="474"/>
        <w:gridCol w:w="504"/>
        <w:gridCol w:w="504"/>
        <w:gridCol w:w="506"/>
        <w:gridCol w:w="120"/>
        <w:gridCol w:w="120"/>
        <w:gridCol w:w="120"/>
        <w:gridCol w:w="233"/>
        <w:gridCol w:w="681"/>
        <w:gridCol w:w="120"/>
        <w:gridCol w:w="120"/>
        <w:gridCol w:w="120"/>
        <w:gridCol w:w="120"/>
        <w:gridCol w:w="519"/>
        <w:gridCol w:w="519"/>
        <w:gridCol w:w="521"/>
        <w:gridCol w:w="1040"/>
        <w:gridCol w:w="1040"/>
        <w:gridCol w:w="1475"/>
      </w:tblGrid>
      <w:t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r>
      <w:tr>
        <w:tc>
          <w:tcPr>
            <w:tcW w:w="9867" w:type="dxa"/>
            <w:gridSpan w:val="21"/>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Issuer Purchases of Equity Securities</w:t>
            </w:r>
          </w:p>
        </w:tc>
      </w:tr>
      <w:tr>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Month</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(or Units)</w:t>
            </w:r>
          </w:p>
          <w:p>
            <w:pPr>
              <w:pStyle w:val="TableContents"/>
              <w:bidi w:val="0"/>
              <w:spacing w:lineRule="auto" w:line="240" w:before="0" w:after="0"/>
              <w:jc w:val="center"/>
            </w:pPr>
            <w:r>
              <w:rPr>
                <w:rFonts w:ascii="Times New Roman;serif" w:hAnsi="Times New Roman;serif"/>
                <w:b/>
                <w:color w:val="000000"/>
                <w:sz w:val="20"/>
              </w:rPr>
              <w:t>Purchased</w:t>
            </w:r>
            <w:r>
              <w:rPr>
                <w:rFonts w:ascii="Times New Roman;serif" w:hAnsi="Times New Roman;serif"/>
                <w:b/>
                <w:color w:val="000000"/>
                <w:sz w:val="13"/>
              </w:rPr>
              <w:t>(a)</w:t>
            </w:r>
          </w:p>
        </w:tc>
        <w:tc>
          <w:tcPr>
            <w:tcW w:w="17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Average Price </w:t>
              <w:br/>
              <w:t>Paid per Share</w:t>
              <w:br/>
              <w:t>(or Unit)</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Shares (or Units)</w:t>
              <w:br/>
              <w:t>Purchased as</w:t>
              <w:br/>
              <w:t>Part of Publicly</w:t>
              <w:br/>
              <w:t>Announced Plans</w:t>
              <w:br/>
              <w:t>or Programs</w:t>
            </w:r>
          </w:p>
        </w:tc>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w:t>
              <w:br/>
              <w:t>Number of</w:t>
              <w:br/>
              <w:t>Shares (or Units)</w:t>
              <w:br/>
              <w:t>that May Yet Be</w:t>
              <w:br/>
              <w:t>Purchased Under the Plans or Programs</w:t>
            </w:r>
          </w:p>
        </w:tc>
      </w:tr>
      <w:tr>
        <w:tc>
          <w:tcPr>
            <w:tcW w:w="14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1 - 31</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1 - 31</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1 - 30</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85"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0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5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80"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7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180"/>
        <w:jc w:val="left"/>
      </w:pPr>
      <w:r>
        <w:rPr>
          <w:rFonts w:ascii="Times New Roman;serif" w:hAnsi="Times New Roman;serif"/>
          <w:b w:val="false"/>
          <w:color w:val="000000"/>
          <w:sz w:val="12"/>
        </w:rPr>
        <w:t xml:space="preserve">(a) </w:t>
      </w:r>
      <w:r>
        <w:rPr>
          <w:rFonts w:ascii="Times New Roman;serif" w:hAnsi="Times New Roman;serif"/>
          <w:b w:val="false"/>
          <w:color w:val="000000"/>
          <w:sz w:val="18"/>
        </w:rPr>
        <w:t>Represents shares Evergy purchased for withholding taxes related to the vesting of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Available Information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SEC maintains an internet site that contains reports, proxy and information statements and other information regarding issuers that file electronically with the SEC at http://www.sec.gov.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http://investors.evergy.com. Such reports are accessible at no charge and are made available as soon as reasonably practical after such material is filed with or furnished to the SEC.</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Investors should note that the Evergy Companies announce material financial information in SEC filings, press releases and public conference calls. In accordance with SEC guidelines, the Evergy Companies also use the Investor Relations section of their website, http://investors.evergy.com, to communicate with investors. It is possible that the financial and other information posted there could be deemed to be material information. The information on the Evergy Companies' website is not part of this document.</w:t>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Securities Trading Plans of Directors and Executive Officers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For the three months ended September 30, 2026, no director or officer has adopted, terminated or modified a Rule 10b5-1 plan or non-Rule 10b5-1 trading arrangement required to be disclosed under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342"/>
        <w:gridCol w:w="301"/>
        <w:gridCol w:w="303"/>
        <w:gridCol w:w="110"/>
        <w:gridCol w:w="110"/>
        <w:gridCol w:w="110"/>
        <w:gridCol w:w="2551"/>
        <w:gridCol w:w="2366"/>
        <w:gridCol w:w="2372"/>
        <w:gridCol w:w="109"/>
        <w:gridCol w:w="109"/>
        <w:gridCol w:w="109"/>
        <w:gridCol w:w="383"/>
        <w:gridCol w:w="383"/>
        <w:gridCol w:w="547"/>
      </w:tblGrid>
      <w:t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2"/>
              </w:rPr>
            </w:pPr>
            <w:r>
              <w:rPr>
                <w:rFonts w:ascii="Times New Roman;serif" w:hAnsi="Times New Roman;serif"/>
                <w:b w:val="false"/>
                <w:color w:val="000000"/>
                <w:sz w:val="22"/>
              </w:rPr>
              <w:t>Exhibit</w:t>
            </w:r>
          </w:p>
          <w:p>
            <w:pPr>
              <w:pStyle w:val="TableContents"/>
              <w:bidi w:val="0"/>
              <w:spacing w:lineRule="auto" w:line="240" w:before="0" w:after="0"/>
              <w:jc w:val="center"/>
            </w:pPr>
            <w:r>
              <w:rPr>
                <w:rFonts w:ascii="Times New Roman;serif" w:hAnsi="Times New Roman;serif"/>
                <w:b w:val="false"/>
                <w:color w:val="000000"/>
                <w:sz w:val="22"/>
                <w:u w:val="single"/>
              </w:rPr>
              <w:t>Number</w:t>
            </w: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Registrant</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Times New Roman;serif" w:hAnsi="Times New Roman;serif"/>
                  <w:b w:val="false"/>
                  <w:color w:val="000080"/>
                  <w:sz w:val="22"/>
                  <w:u w:val="single"/>
                </w:rPr>
                <w:t>Amended and Restated Articles of Incorporation of Evergy, Inc., effective June 4, 2018 (Exhibit 3.1 to Form 8-K filed on June 4, 2018</w:t>
              </w:r>
            </w:hyperlink>
            <w:hyperlink r:id="rId4">
              <w:r>
                <w:rPr>
                  <w:rStyle w:val="InternetLink"/>
                  <w:rFonts w:ascii="Times New Roman;serif" w:hAnsi="Times New Roman;serif"/>
                  <w:b w:val="false"/>
                  <w:color w:val="000080"/>
                  <w:sz w:val="22"/>
                  <w:u w:val="single"/>
                </w:rPr>
                <w:t>)</w:t>
              </w:r>
            </w:hyperlink>
            <w:hyperlink r:id="rId5">
              <w:r>
                <w:rPr>
                  <w:rStyle w:val="InternetLink"/>
                  <w:rFonts w:ascii="Times New Roman;serif" w:hAnsi="Times New Roman;serif"/>
                  <w:b w:val="false"/>
                  <w:color w:val="000080"/>
                  <w:sz w:val="22"/>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6">
              <w:r>
                <w:rPr>
                  <w:rStyle w:val="InternetLink"/>
                  <w:rFonts w:ascii="Times New Roman;serif" w:hAnsi="Times New Roman;serif"/>
                  <w:b w:val="false"/>
                  <w:color w:val="0000FF"/>
                  <w:sz w:val="22"/>
                  <w:u w:val="single"/>
                </w:rPr>
                <w:t>Amended and Restated By-laws of Evergy, Inc., effective as of December 13, 2023 (Exhibit 3.1 to Evergy's Form 8-K filed on December 13, 2023).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3.3</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7">
              <w:r>
                <w:rPr>
                  <w:rStyle w:val="InternetLink"/>
                  <w:rFonts w:ascii="Times New Roman;serif" w:hAnsi="Times New Roman;serif"/>
                  <w:b w:val="false"/>
                  <w:color w:val="0000FF"/>
                  <w:sz w:val="22"/>
                  <w:u w:val="single"/>
                </w:rPr>
                <w:t>Amended and Restated Articles of Consolidation of Evergy Metro, Inc., as amended September 16, 2019 (Exhibit 3.1 to Evergy Metro's Form 10-Q for the quarter ended September 30,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Metro</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3.4</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8">
              <w:r>
                <w:rPr>
                  <w:rStyle w:val="InternetLink"/>
                  <w:rFonts w:ascii="Times New Roman;serif" w:hAnsi="Times New Roman;serif"/>
                  <w:b w:val="false"/>
                  <w:color w:val="0000FF"/>
                  <w:sz w:val="22"/>
                  <w:u w:val="single"/>
                </w:rPr>
                <w:t>Amended and Restated By-laws of Evergy Metro, Inc., effective February 28, 2020 (Exhibit 3.3 to Evergy Metro's Form 8-K filed on March 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Metro</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3.5</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9">
              <w:r>
                <w:rPr>
                  <w:rStyle w:val="InternetLink"/>
                  <w:rFonts w:ascii="Times New Roman;serif" w:hAnsi="Times New Roman;serif"/>
                  <w:b w:val="false"/>
                  <w:color w:val="0000FF"/>
                  <w:sz w:val="22"/>
                  <w:u w:val="single"/>
                </w:rPr>
                <w:t>Amended and Restated Articles of Incorporation of Evergy Kansas Central, Inc., as amended September 16, 2019 (Exhibit 3.3 to Evergy Kansas Central's Form 10-Q for the quarter ended September 30, 2019).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Kansas Central</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3.6</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0">
              <w:r>
                <w:rPr>
                  <w:rStyle w:val="InternetLink"/>
                  <w:rFonts w:ascii="Times New Roman;serif" w:hAnsi="Times New Roman;serif"/>
                  <w:b w:val="false"/>
                  <w:color w:val="0000FF"/>
                  <w:sz w:val="22"/>
                  <w:u w:val="single"/>
                </w:rPr>
                <w:t>Amended and Restated By-laws of Evergy Kansas Central, Inc., effective February 28, 2020 (Exhibit 3.2 to Evergy Kansas Central's Form 8-K filed on March 2, 2020).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Kansas Central</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1">
              <w:r>
                <w:rPr>
                  <w:rStyle w:val="InternetLink"/>
                  <w:rFonts w:ascii="Times New Roman;serif" w:hAnsi="Times New Roman;serif"/>
                  <w:b w:val="false"/>
                  <w:color w:val="0000FF"/>
                  <w:sz w:val="22"/>
                  <w:u w:val="single"/>
                </w:rPr>
                <w:t>Fifty-Fifth Supplemental Indenture, dated as of July 1, 2026, between Evergy Kansas Central, Inc. and The Bank of New York Mellon Trust Company, N.A., as trustee, and the form of global bond included therein (Exhibit 4.1 to Evergy's Form 8-K filed on July 1,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2">
              <w:r>
                <w:rPr>
                  <w:rStyle w:val="InternetLink"/>
                  <w:rFonts w:ascii="Times New Roman;serif" w:hAnsi="Times New Roman;serif"/>
                  <w:b w:val="false"/>
                  <w:color w:val="000080"/>
                  <w:sz w:val="22"/>
                  <w:u w:val="single"/>
                </w:rPr>
                <w:t>Supplemental Indenture No. 5, dated as of August 24, 2026, to the Subordinated Indenture, dated as of May 18, 2009, between Evergy, Inc. (as successor to Great Plains Energy Incorporated) and The Bank of New York Mellon Trust Company, N.A., as trustee, and the form of global note included therein (Exhibit 4.1 of Evergy's Form 8-K filed August 24, 2026</w:t>
              </w:r>
            </w:hyperlink>
            <w:hyperlink r:id="rId13">
              <w:r>
                <w:rPr>
                  <w:rStyle w:val="InternetLink"/>
                  <w:rFonts w:ascii="Times New Roman;serif" w:hAnsi="Times New Roman;serif"/>
                  <w:b w:val="false"/>
                  <w:color w:val="000080"/>
                  <w:sz w:val="22"/>
                  <w:u w:val="single"/>
                </w:rPr>
                <w:t>)</w:t>
              </w:r>
            </w:hyperlink>
            <w:hyperlink r:id="rId14">
              <w:r>
                <w:rPr>
                  <w:rStyle w:val="InternetLink"/>
                  <w:rFonts w:ascii="Times New Roman;serif" w:hAnsi="Times New Roman;serif"/>
                  <w:b w:val="false"/>
                  <w:color w:val="000080"/>
                  <w:sz w:val="22"/>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5">
              <w:r>
                <w:rPr>
                  <w:rStyle w:val="InternetLink"/>
                  <w:rFonts w:ascii="Times New Roman;serif" w:hAnsi="Times New Roman;serif"/>
                  <w:b w:val="false"/>
                  <w:color w:val="0000FF"/>
                  <w:sz w:val="22"/>
                  <w:u w:val="single"/>
                </w:rPr>
                <w:t>Fifty-Sixth Supplemental Indenture, dated as of September 16, 2026, between Evergy Kansas Central, Inc. and The Bank of New York Mellon Trust Company, N.A., as trustee, and the form of global bond included therein (Exhibit 4.1 of Evergy's Form 8-K filed on September 16,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31.1</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vrg-9302026xex311.htm">
              <w:r>
                <w:rPr>
                  <w:rStyle w:val="InternetLink"/>
                  <w:rFonts w:ascii="Times New Roman;serif" w:hAnsi="Times New Roman;serif"/>
                  <w:b w:val="false"/>
                  <w:color w:val="0000FF"/>
                  <w:sz w:val="22"/>
                  <w:u w:val="single"/>
                </w:rPr>
                <w:t>Rule 13a-14(a)/15d-14(a) Certification of David A. Campbell.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vrg-9302026xex312.htm">
              <w:r>
                <w:rPr>
                  <w:rStyle w:val="InternetLink"/>
                  <w:rFonts w:ascii="Times New Roman;serif" w:hAnsi="Times New Roman;serif"/>
                  <w:b w:val="false"/>
                  <w:color w:val="0000FF"/>
                  <w:sz w:val="22"/>
                  <w:u w:val="single"/>
                </w:rPr>
                <w:t>Rule 13a-14(a)/15d-14(a) Certification of W. Bryan Buckler.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31.3</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vrg-9302026xex313.htm">
              <w:r>
                <w:rPr>
                  <w:rStyle w:val="InternetLink"/>
                  <w:rFonts w:ascii="Times New Roman;serif" w:hAnsi="Times New Roman;serif"/>
                  <w:b w:val="false"/>
                  <w:color w:val="0000FF"/>
                  <w:sz w:val="22"/>
                  <w:u w:val="single"/>
                </w:rPr>
                <w:t>Rule 13a-14(a)/15d-14(a) Certification of David A. Campbell.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 </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31.4</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vrg-9302026xex314.htm">
              <w:r>
                <w:rPr>
                  <w:rStyle w:val="InternetLink"/>
                  <w:rFonts w:ascii="Times New Roman;serif" w:hAnsi="Times New Roman;serif"/>
                  <w:b w:val="false"/>
                  <w:color w:val="0000FF"/>
                  <w:sz w:val="22"/>
                  <w:u w:val="single"/>
                </w:rPr>
                <w:t>Rule 13a-14(a)/15d-14(a) Certification of W. Bryan Buckler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 </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vrg-9302026xex315.htm">
              <w:r>
                <w:rPr>
                  <w:rStyle w:val="InternetLink"/>
                  <w:rFonts w:ascii="Times New Roman;serif" w:hAnsi="Times New Roman;serif"/>
                  <w:b w:val="false"/>
                  <w:color w:val="0000FF"/>
                  <w:sz w:val="22"/>
                  <w:u w:val="single"/>
                </w:rPr>
                <w:t>Rule 13a-14(a)/15d-14(a) Certification of David A. Campbell.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Kansas Central</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31.6</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vrg-9302026xex316.htm">
              <w:r>
                <w:rPr>
                  <w:rStyle w:val="InternetLink"/>
                  <w:rFonts w:ascii="Times New Roman;serif" w:hAnsi="Times New Roman;serif"/>
                  <w:b w:val="false"/>
                  <w:color w:val="0000FF"/>
                  <w:sz w:val="22"/>
                  <w:u w:val="single"/>
                </w:rPr>
                <w:t>Rule 13a-14(a)/15d-14(a) Certification of W. Bryan Buckler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Kansas Central</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32.1</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vrg-9302026xex321.htm">
              <w:r>
                <w:rPr>
                  <w:rStyle w:val="InternetLink"/>
                  <w:rFonts w:ascii="Times New Roman;serif" w:hAnsi="Times New Roman;serif"/>
                  <w:b w:val="false"/>
                  <w:color w:val="0000FF"/>
                  <w:sz w:val="22"/>
                  <w:u w:val="single"/>
                </w:rPr>
                <w:t>Section 1350 Certifications.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32.2</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vrg-9302026xex322.htm">
              <w:r>
                <w:rPr>
                  <w:rStyle w:val="InternetLink"/>
                  <w:rFonts w:ascii="Times New Roman;serif" w:hAnsi="Times New Roman;serif"/>
                  <w:b w:val="false"/>
                  <w:color w:val="0000FF"/>
                  <w:sz w:val="22"/>
                  <w:u w:val="single"/>
                </w:rPr>
                <w:t>Section 1350 Certifications.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Evergy Metro </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32.3</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7289"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vrg-9302026xex323.htm">
              <w:r>
                <w:rPr>
                  <w:rStyle w:val="InternetLink"/>
                  <w:rFonts w:ascii="Times New Roman;serif" w:hAnsi="Times New Roman;serif"/>
                  <w:b w:val="false"/>
                  <w:color w:val="0000FF"/>
                  <w:sz w:val="22"/>
                  <w:u w:val="single"/>
                </w:rPr>
                <w:t>Section 1350 Certifications.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 Kansas Central</w:t>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41"/>
        <w:gridCol w:w="286"/>
        <w:gridCol w:w="288"/>
        <w:gridCol w:w="146"/>
        <w:gridCol w:w="146"/>
        <w:gridCol w:w="146"/>
        <w:gridCol w:w="2174"/>
        <w:gridCol w:w="2155"/>
        <w:gridCol w:w="2158"/>
        <w:gridCol w:w="109"/>
        <w:gridCol w:w="109"/>
        <w:gridCol w:w="109"/>
        <w:gridCol w:w="595"/>
        <w:gridCol w:w="595"/>
        <w:gridCol w:w="848"/>
      </w:tblGrid>
      <w:tr>
        <w:tc>
          <w:tcPr>
            <w:tcW w:w="3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101.INS</w:t>
            </w:r>
          </w:p>
        </w:tc>
        <w:tc>
          <w:tcPr>
            <w:tcW w:w="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w:t>
            </w:r>
          </w:p>
        </w:tc>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w:t>
            </w:r>
          </w:p>
        </w:tc>
      </w:tr>
      <w:t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101.SCH</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101.CAL</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101.DEF</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101.LAB</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Inline XBRL Taxonomy Extension Labels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101.PRE</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Evergy</w:t>
              <w:br/>
              <w:t>Evergy Kansas Central</w:t>
              <w:br/>
              <w:t>Evergy Metro</w:t>
            </w:r>
          </w:p>
        </w:tc>
      </w:tr>
    </w:tbl>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The instance document does not appear in the interactive data file because its XBRL tags are embedded within the inline XBRL document.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 Indicates management contract or compensatory plan or arrangement.</w:t>
      </w:r>
    </w:p>
    <w:p>
      <w:pPr>
        <w:pStyle w:val="TextBody"/>
        <w:bidi w:val="0"/>
        <w:spacing w:lineRule="auto" w:line="288" w:before="0" w:after="160"/>
        <w:jc w:val="left"/>
        <w:rPr>
          <w:rFonts w:ascii="Times New Roman;serif" w:hAnsi="Times New Roman;serif"/>
          <w:b w:val="false"/>
          <w:color w:val="000000"/>
          <w:sz w:val="22"/>
        </w:rPr>
      </w:pPr>
      <w:r>
        <w:rPr>
          <w:rFonts w:ascii="Times New Roman;serif" w:hAnsi="Times New Roman;serif"/>
          <w:b w:val="false"/>
          <w:color w:val="000000"/>
          <w:sz w:val="22"/>
        </w:rPr>
        <w:t>Copies of any of the exhibits filed with the SEC in connection with this document may be obtained from Evergy, Evergy Kansas Central or Evergy Metro, as applicable, upon written request.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registrants agree to furnish to the SEC upon request any instrument with respect to long-term debt as to which the total amount of securities authorized does not exceed 10% of total assets of such registrant and its subsidiaries on a consolidated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68" w:before="0" w:after="0"/>
        <w:jc w:val="left"/>
      </w:pPr>
      <w:hyperlink w:anchor="i08898d38c82b47d6b6210aebbde2f168_10">
        <w:r>
          <w:rPr>
            <w:rStyle w:val="InternetLink"/>
            <w:rFonts w:ascii="Times New Roman;serif" w:hAnsi="Times New Roman;serif"/>
            <w:b w:val="false"/>
            <w:color w:val="0000FF"/>
            <w:sz w:val="22"/>
            <w:u w:val="single"/>
          </w:rPr>
          <w:t>Table of Contents</w:t>
        </w:r>
      </w:hyperlink>
      <w:r>
        <w:rPr>
          <w:color w:val="000000"/>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Evergy, Inc., Evergy Kansas Central, Inc. and Evergy Metro, Inc. have duly caused this report to be signed on their behalf by the undersigned, thereunto duly authorized.</w:t>
      </w:r>
    </w:p>
    <w:tbl>
      <w:tblPr>
        <w:tblW w:w="7934" w:type="dxa"/>
        <w:jc w:val="left"/>
        <w:tblInd w:w="0" w:type="dxa"/>
        <w:tblLayout w:type="fixed"/>
        <w:tblCellMar>
          <w:top w:w="28" w:type="dxa"/>
          <w:left w:w="28" w:type="dxa"/>
          <w:bottom w:w="28" w:type="dxa"/>
          <w:right w:w="28" w:type="dxa"/>
        </w:tblCellMar>
      </w:tblPr>
      <w:tblGrid>
        <w:gridCol w:w="266"/>
        <w:gridCol w:w="234"/>
        <w:gridCol w:w="235"/>
        <w:gridCol w:w="624"/>
        <w:gridCol w:w="624"/>
        <w:gridCol w:w="626"/>
        <w:gridCol w:w="1557"/>
        <w:gridCol w:w="1557"/>
        <w:gridCol w:w="2211"/>
      </w:tblGrid>
      <w:t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INC.</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4, 2026</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By:  /s/ W. Bryan Buckler</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 Bryan Buckler</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(Duly authorized officer and principal financial officer)</w:t>
            </w:r>
          </w:p>
        </w:tc>
      </w:tr>
    </w:tbl>
    <w:tbl>
      <w:tblPr>
        <w:tblW w:w="7933" w:type="dxa"/>
        <w:jc w:val="left"/>
        <w:tblInd w:w="0" w:type="dxa"/>
        <w:tblLayout w:type="fixed"/>
        <w:tblCellMar>
          <w:top w:w="28" w:type="dxa"/>
          <w:left w:w="28" w:type="dxa"/>
          <w:bottom w:w="28" w:type="dxa"/>
          <w:right w:w="28" w:type="dxa"/>
        </w:tblCellMar>
      </w:tblPr>
      <w:tblGrid>
        <w:gridCol w:w="266"/>
        <w:gridCol w:w="234"/>
        <w:gridCol w:w="235"/>
        <w:gridCol w:w="624"/>
        <w:gridCol w:w="624"/>
        <w:gridCol w:w="626"/>
        <w:gridCol w:w="1560"/>
        <w:gridCol w:w="1560"/>
        <w:gridCol w:w="2204"/>
      </w:tblGrid>
      <w:t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KANSAS CENTRAL, INC.</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4, 2026</w:t>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By:  /s/ W. Bryan Buckler</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 Bryan Buckler</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(Duly authorized officer and principal financial officer)</w:t>
            </w:r>
          </w:p>
        </w:tc>
      </w:tr>
    </w:tbl>
    <w:p>
      <w:pPr>
        <w:pStyle w:val="TextBody"/>
        <w:bidi w:val="0"/>
        <w:spacing w:before="0" w:after="0"/>
        <w:jc w:val="both"/>
      </w:pPr>
      <w:r/>
    </w:p>
    <w:tbl>
      <w:tblPr>
        <w:tblW w:w="7934" w:type="dxa"/>
        <w:jc w:val="left"/>
        <w:tblInd w:w="0" w:type="dxa"/>
        <w:tblLayout w:type="fixed"/>
        <w:tblCellMar>
          <w:top w:w="28" w:type="dxa"/>
          <w:left w:w="28" w:type="dxa"/>
          <w:bottom w:w="28" w:type="dxa"/>
          <w:right w:w="28" w:type="dxa"/>
        </w:tblCellMar>
      </w:tblPr>
      <w:tblGrid>
        <w:gridCol w:w="266"/>
        <w:gridCol w:w="234"/>
        <w:gridCol w:w="235"/>
        <w:gridCol w:w="624"/>
        <w:gridCol w:w="624"/>
        <w:gridCol w:w="626"/>
        <w:gridCol w:w="1556"/>
        <w:gridCol w:w="1556"/>
        <w:gridCol w:w="2213"/>
      </w:tblGrid>
      <w:t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EVERGY METRO, INC.</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November 4, 2026</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By:  /s/ W. Bryan Buckler</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W. Bryan Buckler</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and Chief Financial Officer</w:t>
            </w:r>
          </w:p>
        </w:tc>
      </w:tr>
      <w:tr>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(Duly authorized officer and principal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A. Campbell, certify that: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Evergy, Inc.;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pPr>
      <w:r/>
    </w:p>
    <w:tbl>
      <w:tblPr>
        <w:tblW w:w="6254"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1199"/>
        <w:gridCol w:w="1199"/>
        <w:gridCol w:w="1697"/>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 Bryan Buckler, certify that: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Inc.;</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pPr>
      <w:r/>
    </w:p>
    <w:tbl>
      <w:tblPr>
        <w:tblW w:w="6598"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1299"/>
        <w:gridCol w:w="1299"/>
        <w:gridCol w:w="1841"/>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bl>
    <w:p>
      <w:pPr>
        <w:pStyle w:val="TextBody"/>
        <w:bidi w:val="0"/>
        <w:spacing w:before="0" w:after="0"/>
        <w:jc w:val="center"/>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A. Campbell, certify that: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Metro, Inc.;</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pPr>
      <w:r/>
    </w:p>
    <w:tbl>
      <w:tblPr>
        <w:tblW w:w="6254"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1199"/>
        <w:gridCol w:w="1199"/>
        <w:gridCol w:w="1697"/>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 Bryan Buckler, certify that: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Metro, Inc.;</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pPr>
      <w:r/>
    </w:p>
    <w:tbl>
      <w:tblPr>
        <w:tblW w:w="6598"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1299"/>
        <w:gridCol w:w="1299"/>
        <w:gridCol w:w="1841"/>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David A. Campbell, certify that: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Kansas Central, Inc.;</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pPr>
      <w:r/>
    </w:p>
    <w:tbl>
      <w:tblPr>
        <w:tblW w:w="6254"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1199"/>
        <w:gridCol w:w="1199"/>
        <w:gridCol w:w="1697"/>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 Bryan Buckler, certify that: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Evergy Kansas Central, Inc.;</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p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p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pPr>
      <w:r/>
    </w:p>
    <w:tbl>
      <w:tblPr>
        <w:tblW w:w="6598"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1299"/>
        <w:gridCol w:w="1299"/>
        <w:gridCol w:w="1841"/>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Evergy, Inc. (the "Company") for the quarterly period ended September 30, 2026,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p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p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pPr>
      <w:r/>
    </w:p>
    <w:tbl>
      <w:tblPr>
        <w:tblW w:w="5086" w:type="dxa"/>
        <w:jc w:val="center"/>
        <w:tblInd w:w="0" w:type="dxa"/>
        <w:tblLayout w:type="fixed"/>
        <w:tblCellMar>
          <w:top w:w="28" w:type="dxa"/>
          <w:left w:w="28" w:type="dxa"/>
          <w:bottom w:w="28" w:type="dxa"/>
          <w:right w:w="28" w:type="dxa"/>
        </w:tblCellMar>
      </w:tblPr>
      <w:tblGrid>
        <w:gridCol w:w="234"/>
        <w:gridCol w:w="205"/>
        <w:gridCol w:w="207"/>
        <w:gridCol w:w="1300"/>
        <w:gridCol w:w="1300"/>
        <w:gridCol w:w="1840"/>
      </w:tblGrid>
      <w:t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r>
      <w:t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r>
    </w:tbl>
    <w:p>
      <w:pPr>
        <w:pStyle w:val="TextBody"/>
        <w:bidi w:val="0"/>
        <w:spacing w:before="0" w:after="0"/>
        <w:jc w:val="center"/>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Evergy Metro, Inc. (the "Company") for the quarterly period ended September 30, 2026,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pPr>
      <w:r/>
    </w:p>
    <w:tbl>
      <w:tblPr>
        <w:tblW w:w="5086" w:type="dxa"/>
        <w:jc w:val="center"/>
        <w:tblInd w:w="0" w:type="dxa"/>
        <w:tblLayout w:type="fixed"/>
        <w:tblCellMar>
          <w:top w:w="28" w:type="dxa"/>
          <w:left w:w="28" w:type="dxa"/>
          <w:bottom w:w="28" w:type="dxa"/>
          <w:right w:w="28" w:type="dxa"/>
        </w:tblCellMar>
      </w:tblPr>
      <w:tblGrid>
        <w:gridCol w:w="234"/>
        <w:gridCol w:w="205"/>
        <w:gridCol w:w="207"/>
        <w:gridCol w:w="1300"/>
        <w:gridCol w:w="1300"/>
        <w:gridCol w:w="1840"/>
      </w:tblGrid>
      <w:t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r>
      <w:t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r>
    </w:tbl>
    <w:p>
      <w:pPr>
        <w:pStyle w:val="TextBody"/>
        <w:bidi w:val="0"/>
        <w:spacing w:before="0" w:after="0"/>
        <w:jc w:val="center"/>
      </w:pPr>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32.3</w: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Evergy Kansas Central, Inc. (the "Company") for the quarterly period ended September 30, 2026, as filed with the Securities and Exchange Commission on the date hereof (the "Report"), David A. Campbell, as Chairman, President and Chief Executive Officer of the Company, and W. Bryan Buckler, as Executive Vice President and Chief Financial Officer of the Company, each hereby certifies, pursuant to 18 U.S.C. Section 1350, as adopted pursuant to Section 906 of the Sarbanes-Oxley Act of 2002, that, to the best of his knowledge:</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p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pPr>
      <w:r/>
    </w:p>
    <w:tbl>
      <w:tblPr>
        <w:tblW w:w="5086" w:type="dxa"/>
        <w:jc w:val="center"/>
        <w:tblInd w:w="0" w:type="dxa"/>
        <w:tblLayout w:type="fixed"/>
        <w:tblCellMar>
          <w:top w:w="28" w:type="dxa"/>
          <w:left w:w="28" w:type="dxa"/>
          <w:bottom w:w="28" w:type="dxa"/>
          <w:right w:w="28" w:type="dxa"/>
        </w:tblCellMar>
      </w:tblPr>
      <w:tblGrid>
        <w:gridCol w:w="234"/>
        <w:gridCol w:w="205"/>
        <w:gridCol w:w="207"/>
        <w:gridCol w:w="1300"/>
        <w:gridCol w:w="1300"/>
        <w:gridCol w:w="1840"/>
      </w:tblGrid>
      <w:t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David A. Campbell</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Campbell</w:t>
              <w:br/>
              <w:t>Chairman, President and Chief Executive Officer</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r>
      <w:t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 Bryan Buckler</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br/>
              <w:t>Title: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 Bryan Buckler</w:t>
              <w:br/>
              <w:t>Executive Vice President and Chief Financial Officer</w:t>
            </w:r>
          </w:p>
        </w:tc>
      </w:tr>
      <w:t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2026</w:t>
            </w:r>
          </w:p>
        </w:tc>
      </w:tr>
    </w:tbl>
    <w:p>
      <w:pPr>
        <w:pStyle w:val="TextBody"/>
        <w:bidi w:val="0"/>
        <w:spacing w:before="0" w:after="0"/>
        <w:jc w:val="center"/>
      </w:pPr>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11269/000119312518182964/d598560dex31.htm" TargetMode="External"/><Relationship Id="rId4" Type="http://schemas.openxmlformats.org/officeDocument/2006/relationships/hyperlink" Target="https://www.sec.gov/Archives/edgar/data/1711269/000119312518182964/d598560dex31.htm" TargetMode="External"/><Relationship Id="rId5" Type="http://schemas.openxmlformats.org/officeDocument/2006/relationships/hyperlink" Target="https://www.sec.gov/Archives/edgar/data/1711269/000119312518182964/d598560dex31.htm" TargetMode="External"/><Relationship Id="rId6" Type="http://schemas.openxmlformats.org/officeDocument/2006/relationships/hyperlink" Target="https://www.sec.gov/Archives/edgar/data/1711269/000119312523295488/d603604dex31.htm" TargetMode="External"/><Relationship Id="rId7" Type="http://schemas.openxmlformats.org/officeDocument/2006/relationships/hyperlink" Target="https://www.sec.gov/Archives/edgar/data/54476/000171126919000063/evrg-9302019xexmetroar.htm" TargetMode="External"/><Relationship Id="rId8" Type="http://schemas.openxmlformats.org/officeDocument/2006/relationships/hyperlink" Target="https://www.sec.gov/Archives/edgar/data/54476/000171126920000010/exhibit33metroby-laws1.htm" TargetMode="External"/><Relationship Id="rId9" Type="http://schemas.openxmlformats.org/officeDocument/2006/relationships/hyperlink" Target="https://www.sec.gov/Archives/edgar/data/54476/000171126919000063/evrg-9302019xexkansasc.htm" TargetMode="External"/><Relationship Id="rId10" Type="http://schemas.openxmlformats.org/officeDocument/2006/relationships/hyperlink" Target="https://www.sec.gov/Archives/edgar/data/54476/000171126920000010/exhibit32kansascentral.htm" TargetMode="External"/><Relationship Id="rId11" Type="http://schemas.openxmlformats.org/officeDocument/2006/relationships/hyperlink" Target="https://www.sec.gov/Archives/edgar/data/1711269/000119312526292566/d917808dex41.htm" TargetMode="External"/><Relationship Id="rId12" Type="http://schemas.openxmlformats.org/officeDocument/2006/relationships/hyperlink" Target="https://www.sec.gov/Archives/edgar/data/1711269/000119312526363625/d417229dex41.htm" TargetMode="External"/><Relationship Id="rId13" Type="http://schemas.openxmlformats.org/officeDocument/2006/relationships/hyperlink" Target="https://www.sec.gov/Archives/edgar/data/1711269/000119312526363625/d417229dex41.htm" TargetMode="External"/><Relationship Id="rId14" Type="http://schemas.openxmlformats.org/officeDocument/2006/relationships/hyperlink" Target="https://www.sec.gov/Archives/edgar/data/1711269/000119312526363625/d417229dex41.htm" TargetMode="External"/><Relationship Id="rId15" Type="http://schemas.openxmlformats.org/officeDocument/2006/relationships/hyperlink" Target="https://www.sec.gov/Archives/edgar/data/1711269/000119312526393088/d504888dex41.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35546</Words>
  <Characters>201378</Characters>
  <CharactersWithSpaces>233398</CharactersWithSpaces>
  <Paragraphs>7936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